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沈阳市浑南区城市建设局党政主要负责人履行推进法治建</w:t>
      </w:r>
      <w:bookmarkStart w:id="0" w:name="_GoBack"/>
      <w:bookmarkEnd w:id="0"/>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设第一责任人职责清单</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（一）全面学习贯彻习近平法治思想，深刻把握精神实质。</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切实把习近平法治思想贯彻到我局工作全过程和各方面，确保以习近平同志为核心的党中央关于法治建设的各项决策部署落深落细落实落到位，转化为推进法治政府建设的生动实践和丰硕成果。坚持党对全面依法治国的领导，坚定不移走中国特色社会主义法治道路，在推进国家治理体系和治理能力现代化、加快新时代新政府建设、全方位推动高质量发展超越中发挥积极作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（二）强化组织领导，全面推进法治监督。</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建立法治工作办公室，成立法治建设工作小组，不断完善法治建设组织机构，落实法治建设责任主体，</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将法治政府建设纳入年工作计划，</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坚持对全局法治建设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重要工作的亲自部署、重要任务亲自督办、统筹推进法制建设工作各项任务。严格按照议事规则集体讨论决定重大事项，制定重大事项决策程序和机关决策程序规定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积极推进行政执法改革，加强与区司法局的交流，对我局规范性文件、行政复议诉讼等提供法律意见和建议，加强行政处罚案件法制审核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严格对照法律法规，分解执法职权，建立行政执法日常检查监督机制，依法做好执法监督工作。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（三）加强学法普法，拓宽法治宣传领域。</w:t>
      </w: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全年开展执法队伍及重点领域从业人群宣传教育培训工作，加强对本单位执法人员的法制教育培训，认真落实“谁执法谁普法”普法责任制。加强对建筑领域从业人员的法治宣传工作，</w:t>
      </w:r>
      <w:r>
        <w:rPr>
          <w:rFonts w:hint="eastAsia"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紧紧抓住</w:t>
      </w: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6月的“安全生产月”、12月的“普法宣传月”等重要节点，利用主干街路、重点部位LED屏，施工项目围挡、机关宣传栏等，向机关工作人员、重点从业人及社会公众面，发放普法宣传品、普法知识手册、宣传单等，</w:t>
      </w:r>
      <w:r>
        <w:rPr>
          <w:rFonts w:hint="default" w:ascii="Times New Roman" w:hAnsi="Times New Roman" w:eastAsia="仿宋" w:cs="Times New Roman"/>
          <w:color w:val="000000" w:themeColor="text1"/>
          <w:spacing w:val="0"/>
          <w:w w:val="100"/>
          <w:position w:val="0"/>
          <w:sz w:val="32"/>
          <w:szCs w:val="32"/>
          <w:highlight w:val="none"/>
          <w:lang w:val="en-US" w:eastAsia="zh-CN"/>
          <w14:textFill>
            <w14:solidFill>
              <w14:schemeClr w14:val="tx1"/>
            </w14:solidFill>
          </w14:textFill>
        </w:rPr>
        <w:t>开展城市建设领域相关</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法律法规等宣传工作，</w:t>
      </w:r>
      <w:r>
        <w:rPr>
          <w:rFonts w:hint="default" w:ascii="Times New Roman" w:hAnsi="Times New Roman" w:eastAsia="仿宋" w:cs="Times New Roman"/>
          <w:color w:val="000000" w:themeColor="text1"/>
          <w:spacing w:val="0"/>
          <w:w w:val="100"/>
          <w:position w:val="0"/>
          <w:sz w:val="32"/>
          <w:szCs w:val="32"/>
          <w:highlight w:val="none"/>
          <w:lang w:val="en-US" w:eastAsia="zh-CN"/>
          <w14:textFill>
            <w14:solidFill>
              <w14:schemeClr w14:val="tx1"/>
            </w14:solidFill>
          </w14:textFill>
        </w:rPr>
        <w:t>进一步提升公众知晓率。</w:t>
      </w:r>
    </w:p>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（四）健全公开机制，规范文明公正执法。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推进政务公开，通过政府网站公布我局权力清单、责任清单和负面清单管理制度。</w:t>
      </w:r>
      <w:r>
        <w:rPr>
          <w:rFonts w:hint="default" w:ascii="Times New Roman" w:hAnsi="Times New Roman" w:eastAsia="仿宋" w:cs="Times New Roman"/>
          <w:b w:val="0"/>
          <w:bCs w:val="0"/>
          <w:color w:val="000000" w:themeColor="text1"/>
          <w:spacing w:val="0"/>
          <w:sz w:val="32"/>
          <w:szCs w:val="32"/>
          <w:lang w:eastAsia="zh-CN"/>
          <w14:textFill>
            <w14:solidFill>
              <w14:schemeClr w14:val="tx1"/>
            </w14:solidFill>
          </w14:textFill>
        </w:rPr>
        <w:t>推动执法队伍规范执证、执法，监督执法人员依法依规，对各项业务项目，选派专业人员及队伍，进行前、中、后期监管，</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以固定抽查计划与对豁免项目采取双随机抽查相结合的方式，对施工现场进行安全生产监督检查和施工质量检查，对易出现群死群伤等事故项目施工现场，重点监管，明确工作纪律，设投诉举报电话，在政府网站等对重大项目违规违法施工等监管处理情况公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val="en-US" w:eastAsia="zh-CN" w:bidi="ar"/>
          <w14:textFill>
            <w14:solidFill>
              <w14:schemeClr w14:val="tx1"/>
            </w14:solidFill>
          </w14:textFill>
        </w:rPr>
        <w:t>（五）推行法律顾问制度，推进依法行政工作。</w:t>
      </w:r>
      <w:r>
        <w:rPr>
          <w:rFonts w:hint="default" w:ascii="Times New Roman" w:hAnsi="Times New Roman" w:eastAsia="仿宋" w:cs="Times New Roman"/>
          <w:b w:val="0"/>
          <w:bCs w:val="0"/>
          <w:color w:val="000000" w:themeColor="text1"/>
          <w:kern w:val="0"/>
          <w:sz w:val="32"/>
          <w:szCs w:val="32"/>
          <w:lang w:val="en-US" w:eastAsia="zh-CN" w:bidi="ar"/>
          <w14:textFill>
            <w14:solidFill>
              <w14:schemeClr w14:val="tx1"/>
            </w14:solidFill>
          </w14:textFill>
        </w:rPr>
        <w:t>积极推进依法决策，严格执行重大行政决策法定程序，</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组织专业法律团队为我局重大决策、发展规划提供法律咨询意见和建议，协助审查、修改重大工程类合同，草拟、审查法律事务文书，</w:t>
      </w:r>
      <w:r>
        <w:rPr>
          <w:rFonts w:hint="default" w:ascii="Times New Roman" w:hAnsi="Times New Roman" w:eastAsia="仿宋" w:cs="Times New Roman"/>
          <w:b w:val="0"/>
          <w:bCs w:val="0"/>
          <w:color w:val="000000" w:themeColor="text1"/>
          <w:kern w:val="0"/>
          <w:sz w:val="32"/>
          <w:szCs w:val="32"/>
          <w:lang w:val="en-US" w:eastAsia="zh-CN" w:bidi="ar"/>
          <w14:textFill>
            <w14:solidFill>
              <w14:schemeClr w14:val="tx1"/>
            </w14:solidFill>
          </w14:textFill>
        </w:rPr>
        <w:t>充分发挥法律顾问、公职律师在促进依法决策、依法行政发面的积极作用。全面贯彻落实，沈阳市政府法治政府创建工作，组织各执法部门，逐一对照检查，落实各工作项，并以此为</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契机，对</w:t>
      </w:r>
      <w:r>
        <w:rPr>
          <w:rFonts w:hint="eastAsia" w:ascii="Times New Roman" w:hAnsi="Times New Roman" w:eastAsia="仿宋" w:cs="Times New Roman"/>
          <w:b w:val="0"/>
          <w:bCs w:val="0"/>
          <w:color w:val="000000" w:themeColor="text1"/>
          <w:spacing w:val="0"/>
          <w:sz w:val="32"/>
          <w:szCs w:val="32"/>
          <w:lang w:val="en-US" w:eastAsia="zh-CN"/>
          <w14:textFill>
            <w14:solidFill>
              <w14:schemeClr w14:val="tx1"/>
            </w14:solidFill>
          </w14:textFill>
        </w:rPr>
        <w:t>今</w:t>
      </w:r>
      <w:r>
        <w:rPr>
          <w:rFonts w:hint="default" w:ascii="Times New Roman" w:hAnsi="Times New Roman" w:eastAsia="仿宋" w:cs="Times New Roman"/>
          <w:b w:val="0"/>
          <w:bCs w:val="0"/>
          <w:color w:val="000000" w:themeColor="text1"/>
          <w:spacing w:val="0"/>
          <w:sz w:val="32"/>
          <w:szCs w:val="32"/>
          <w:lang w:val="en-US" w:eastAsia="zh-CN"/>
          <w14:textFill>
            <w14:solidFill>
              <w14:schemeClr w14:val="tx1"/>
            </w14:solidFill>
          </w14:textFill>
        </w:rPr>
        <w:t>年我局已办结的执法案卷</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进行自查自纠工作，</w:t>
      </w:r>
      <w:r>
        <w:rPr>
          <w:rFonts w:hint="default" w:ascii="Times New Roman" w:hAnsi="Times New Roman" w:eastAsia="仿宋" w:cs="Times New Roman"/>
          <w:color w:val="000000" w:themeColor="text1"/>
          <w:spacing w:val="0"/>
          <w:sz w:val="32"/>
          <w:szCs w:val="32"/>
          <w14:textFill>
            <w14:solidFill>
              <w14:schemeClr w14:val="tx1"/>
            </w14:solidFill>
          </w14:textFill>
        </w:rPr>
        <w:t>进一步规范行政执法</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案卷制式及标准，高标准、高质量完成区、市、省及中央法治工作督导组</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的</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检查</w:t>
      </w:r>
      <w:r>
        <w:rPr>
          <w:rFonts w:hint="default" w:ascii="Times New Roman" w:hAnsi="Times New Roman" w:eastAsia="仿宋" w:cs="Times New Roman"/>
          <w:color w:val="000000" w:themeColor="text1"/>
          <w:spacing w:val="0"/>
          <w:sz w:val="32"/>
          <w:szCs w:val="32"/>
          <w:lang w:val="en-US" w:eastAsia="zh-CN"/>
          <w14:textFill>
            <w14:solidFill>
              <w14:schemeClr w14:val="tx1"/>
            </w14:solidFill>
          </w14:textFill>
        </w:rPr>
        <w:t>任务</w:t>
      </w:r>
      <w:r>
        <w:rPr>
          <w:rFonts w:hint="default" w:ascii="Times New Roman" w:hAnsi="Times New Roman" w:eastAsia="仿宋" w:cs="Times New Roman"/>
          <w:color w:val="000000" w:themeColor="text1"/>
          <w:spacing w:val="0"/>
          <w:sz w:val="32"/>
          <w:szCs w:val="32"/>
          <w:lang w:eastAsia="zh-CN"/>
          <w14:textFill>
            <w14:solidFill>
              <w14:schemeClr w14:val="tx1"/>
            </w14:solidFill>
          </w14:textFill>
        </w:rPr>
        <w:t>。</w:t>
      </w:r>
    </w:p>
    <w:p>
      <w:pPr>
        <w:pStyle w:val="2"/>
        <w:jc w:val="right"/>
        <w:rPr>
          <w:rFonts w:hint="eastAsia"/>
          <w:lang w:val="en-US" w:eastAsia="zh-CN"/>
        </w:rPr>
      </w:pPr>
    </w:p>
    <w:p>
      <w:pPr>
        <w:pStyle w:val="2"/>
        <w:rPr>
          <w:rFonts w:hint="eastAsia"/>
          <w:lang w:val="en-US" w:eastAsia="zh-CN"/>
        </w:rPr>
      </w:pPr>
    </w:p>
    <w:p>
      <w:pPr>
        <w:rPr>
          <w:rFonts w:hint="eastAsia"/>
          <w:lang w:val="en-US" w:eastAsia="zh-CN"/>
        </w:rPr>
      </w:pPr>
    </w:p>
    <w:p>
      <w:pPr>
        <w:pStyle w:val="2"/>
        <w:jc w:val="right"/>
        <w:rPr>
          <w:rFonts w:hint="eastAsia"/>
          <w:lang w:val="en-US" w:eastAsia="zh-CN"/>
        </w:rPr>
      </w:pPr>
      <w:r>
        <w:rPr>
          <w:rFonts w:hint="eastAsia"/>
          <w:lang w:val="en-US" w:eastAsia="zh-CN"/>
        </w:rPr>
        <w:t>沈阳市浑南区城市建设局</w:t>
      </w:r>
    </w:p>
    <w:p>
      <w:pPr>
        <w:pStyle w:val="2"/>
        <w:jc w:val="center"/>
        <w:rPr>
          <w:rFonts w:hint="default"/>
          <w:lang w:val="en-US" w:eastAsia="zh-CN"/>
        </w:rPr>
      </w:pPr>
      <w:r>
        <w:rPr>
          <w:rFonts w:hint="eastAsia"/>
          <w:lang w:val="en-US" w:eastAsia="zh-CN"/>
        </w:rPr>
        <w:t xml:space="preserve">                                   2023年5月25日    </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7A"/>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00000"/>
    <w:rsid w:val="269A5E6C"/>
    <w:rsid w:val="2B393F0C"/>
    <w:rsid w:val="43544FFA"/>
    <w:rsid w:val="44A50BAC"/>
    <w:rsid w:val="55966F73"/>
    <w:rsid w:val="61647933"/>
    <w:rsid w:val="77AA60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华文仿宋" w:cs="Times New Roman"/>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1197</Words>
  <Characters>1200</Characters>
  <Lines>0</Lines>
  <Paragraphs>0</Paragraphs>
  <TotalTime>1</TotalTime>
  <ScaleCrop>false</ScaleCrop>
  <LinksUpToDate>false</LinksUpToDate>
  <CharactersWithSpaces>1200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杨洋</cp:lastModifiedBy>
  <cp:lastPrinted>2023-05-24T01:19:00Z</cp:lastPrinted>
  <dcterms:modified xsi:type="dcterms:W3CDTF">2023-08-02T07:24:59Z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0AB96007561743048F0A2E65ED85545B_12</vt:lpwstr>
  </property>
</Properties>
</file>