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5283B">
      <w:pPr>
        <w:adjustRightInd w:val="0"/>
        <w:snapToGrid w:val="0"/>
        <w:spacing w:line="240" w:lineRule="atLeast"/>
        <w:rPr>
          <w:rFonts w:hint="eastAsia" w:ascii="宋体" w:hAnsi="宋体"/>
          <w:b/>
          <w:bCs/>
          <w:sz w:val="44"/>
          <w:szCs w:val="44"/>
        </w:rPr>
      </w:pPr>
    </w:p>
    <w:p w14:paraId="5A91621E">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Theme="majorEastAsia" w:hAnsiTheme="majorEastAsia" w:eastAsiaTheme="majorEastAsia"/>
          <w:b/>
          <w:snapToGrid w:val="0"/>
          <w:kern w:val="0"/>
          <w:sz w:val="44"/>
          <w:szCs w:val="44"/>
        </w:rPr>
      </w:pPr>
      <w:r>
        <w:rPr>
          <w:rFonts w:hint="eastAsia" w:asciiTheme="majorEastAsia" w:hAnsiTheme="majorEastAsia" w:eastAsiaTheme="majorEastAsia"/>
          <w:b/>
          <w:snapToGrid w:val="0"/>
          <w:kern w:val="0"/>
          <w:sz w:val="44"/>
          <w:szCs w:val="44"/>
        </w:rPr>
        <w:t>浑南区</w:t>
      </w:r>
      <w:r>
        <w:rPr>
          <w:rFonts w:asciiTheme="majorEastAsia" w:hAnsiTheme="majorEastAsia" w:eastAsiaTheme="majorEastAsia"/>
          <w:b/>
          <w:snapToGrid w:val="0"/>
          <w:kern w:val="0"/>
          <w:sz w:val="44"/>
          <w:szCs w:val="44"/>
        </w:rPr>
        <w:t>202</w:t>
      </w:r>
      <w:r>
        <w:rPr>
          <w:rFonts w:hint="eastAsia" w:asciiTheme="majorEastAsia" w:hAnsiTheme="majorEastAsia" w:eastAsiaTheme="majorEastAsia"/>
          <w:b/>
          <w:snapToGrid w:val="0"/>
          <w:kern w:val="0"/>
          <w:sz w:val="44"/>
          <w:szCs w:val="44"/>
        </w:rPr>
        <w:t>5</w:t>
      </w:r>
      <w:r>
        <w:rPr>
          <w:rFonts w:asciiTheme="majorEastAsia" w:hAnsiTheme="majorEastAsia" w:eastAsiaTheme="majorEastAsia"/>
          <w:b/>
          <w:snapToGrid w:val="0"/>
          <w:kern w:val="0"/>
          <w:sz w:val="44"/>
          <w:szCs w:val="44"/>
        </w:rPr>
        <w:t>年黑土地保护性耕作实施方案</w:t>
      </w:r>
    </w:p>
    <w:p w14:paraId="2277DE4D">
      <w:pPr>
        <w:pStyle w:val="2"/>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ascii="仿宋" w:hAnsi="仿宋" w:eastAsia="仿宋"/>
          <w:snapToGrid w:val="0"/>
          <w:kern w:val="0"/>
        </w:rPr>
      </w:pPr>
    </w:p>
    <w:p w14:paraId="075781AB">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627" w:firstLineChars="196"/>
        <w:jc w:val="left"/>
        <w:textAlignment w:val="auto"/>
        <w:rPr>
          <w:rFonts w:ascii="仿宋_GB2312" w:eastAsia="仿宋_GB2312"/>
          <w:snapToGrid w:val="0"/>
          <w:kern w:val="0"/>
          <w:sz w:val="32"/>
          <w:szCs w:val="32"/>
        </w:rPr>
      </w:pPr>
      <w:r>
        <w:rPr>
          <w:rFonts w:hint="eastAsia" w:ascii="仿宋_GB2312" w:hAnsi="仿宋" w:eastAsia="仿宋_GB2312" w:cs="Times New Roman"/>
          <w:snapToGrid w:val="0"/>
          <w:kern w:val="0"/>
          <w:sz w:val="32"/>
          <w:szCs w:val="32"/>
          <w:lang w:val="en-US" w:eastAsia="zh-CN" w:bidi="ar-SA"/>
        </w:rPr>
        <w:t>为贯彻落实《沈阳市农业农村局沈阳市财政局关于印发沈阳市2025年黑土地保护性耕作实施方案的通知》（沈农机发〔2025〕43号），高质量完成2025年度保护性耕作目标任务，结合我区实际，制定本实施方案。</w:t>
      </w:r>
    </w:p>
    <w:p w14:paraId="06FADF85">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黑体" w:hAnsi="黑体" w:eastAsia="黑体"/>
          <w:snapToGrid w:val="0"/>
          <w:kern w:val="0"/>
          <w:sz w:val="32"/>
          <w:szCs w:val="32"/>
        </w:rPr>
      </w:pPr>
      <w:r>
        <w:rPr>
          <w:rFonts w:hint="eastAsia" w:ascii="黑体" w:hAnsi="黑体" w:eastAsia="黑体"/>
          <w:snapToGrid w:val="0"/>
          <w:kern w:val="0"/>
          <w:sz w:val="32"/>
          <w:szCs w:val="32"/>
        </w:rPr>
        <w:t>一、总体要求</w:t>
      </w:r>
    </w:p>
    <w:p w14:paraId="53F18D61">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hAnsi="仿宋" w:eastAsia="仿宋_GB2312" w:cs="Times New Roman"/>
          <w:snapToGrid w:val="0"/>
          <w:kern w:val="0"/>
          <w:sz w:val="32"/>
          <w:szCs w:val="32"/>
          <w:lang w:val="en-US" w:eastAsia="zh-CN" w:bidi="ar-SA"/>
        </w:rPr>
        <w:t>深入贯彻习近平总书记关于黑土地保护的重要指示精神，落实中央农村工作会议要求，持续推动保护性耕作与粮油作物大面积单产提升行动紧密结合，引导实施主体在稳产增产前提下稳步有序提升实施过程中技术应用规范性和到位率。坚持实事求是、守正创新、循序渐进的原则，通过政府与市场两端发力，强化组织领导和政策引导，农机与农艺深度融合，科技支撑与主体培育并重，重点突破与整体推进并举，稳产丰产与节本增效兼顾，紧盯粮油作物大面积单产提升重要任务，强化实施效果跟踪监测，采取有力措施提升实施质量，持续增强黑土地保护效果，如期完成保护性耕作行动计划目标任务。</w:t>
      </w:r>
    </w:p>
    <w:p w14:paraId="6A9BF81A">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黑体" w:hAnsi="黑体" w:eastAsia="黑体"/>
          <w:snapToGrid w:val="0"/>
          <w:kern w:val="0"/>
          <w:sz w:val="32"/>
          <w:szCs w:val="32"/>
        </w:rPr>
      </w:pPr>
      <w:r>
        <w:rPr>
          <w:rFonts w:hint="eastAsia" w:ascii="黑体" w:hAnsi="黑体" w:eastAsia="黑体"/>
          <w:snapToGrid w:val="0"/>
          <w:kern w:val="0"/>
          <w:sz w:val="32"/>
          <w:szCs w:val="32"/>
        </w:rPr>
        <w:t>二、目标任务和实施区域</w:t>
      </w:r>
    </w:p>
    <w:p w14:paraId="3E41179F">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hAnsi="仿宋" w:eastAsia="仿宋_GB2312" w:cs="Times New Roman"/>
          <w:snapToGrid w:val="0"/>
          <w:kern w:val="0"/>
          <w:sz w:val="32"/>
          <w:szCs w:val="32"/>
          <w:lang w:val="en-US" w:eastAsia="zh-CN" w:bidi="ar-SA"/>
        </w:rPr>
        <w:t>根据省、市政府下达计划目标任务，全区保护性耕作计划任务面积6万亩，结合各涉农街道玉米种植面积和耕地条件，各街道具体任务面积分别为：李相街道19000亩；王滨街道12000亩；祝家街道12000亩；满堂街道5000亩；东湖街道3000亩；桃仙街道5000亩；高坎街道4000亩。</w:t>
      </w:r>
    </w:p>
    <w:p w14:paraId="569D3435">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627" w:firstLineChars="196"/>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hAnsi="仿宋" w:eastAsia="仿宋_GB2312" w:cs="Times New Roman"/>
          <w:snapToGrid w:val="0"/>
          <w:kern w:val="0"/>
          <w:sz w:val="32"/>
          <w:szCs w:val="32"/>
          <w:lang w:val="en-US" w:eastAsia="zh-CN" w:bidi="ar-SA"/>
        </w:rPr>
        <w:t>鼓励各街道在计划任务面积基础上增加实施面积。以玉米为主要作物，在全区适宜区域大力推进实施保护性耕作，不断扩大辐射带动面积。各街道要注重循序渐进、稳中求进，稳步有序扩大保护性耕作实施面积，逐步提升作业质量。</w:t>
      </w:r>
    </w:p>
    <w:p w14:paraId="18C35397">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黑体" w:hAnsi="黑体" w:eastAsia="黑体"/>
          <w:snapToGrid w:val="0"/>
          <w:kern w:val="0"/>
          <w:sz w:val="32"/>
          <w:szCs w:val="32"/>
        </w:rPr>
      </w:pPr>
      <w:r>
        <w:rPr>
          <w:rFonts w:hint="eastAsia" w:ascii="黑体" w:hAnsi="黑体" w:eastAsia="黑体"/>
          <w:snapToGrid w:val="0"/>
          <w:kern w:val="0"/>
          <w:sz w:val="32"/>
          <w:szCs w:val="32"/>
        </w:rPr>
        <w:t>三、主要技术要求</w:t>
      </w:r>
    </w:p>
    <w:p w14:paraId="4AFB6C7A">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楷体_GB2312" w:eastAsia="楷体_GB2312"/>
          <w:b/>
          <w:snapToGrid w:val="0"/>
          <w:kern w:val="0"/>
          <w:sz w:val="32"/>
          <w:szCs w:val="32"/>
        </w:rPr>
        <w:t>（一）技术质量要求</w:t>
      </w:r>
    </w:p>
    <w:p w14:paraId="2A2A6C2B">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b/>
          <w:snapToGrid w:val="0"/>
          <w:kern w:val="0"/>
          <w:sz w:val="32"/>
          <w:szCs w:val="32"/>
        </w:rPr>
        <w:t>保护性耕作</w:t>
      </w:r>
      <w:r>
        <w:rPr>
          <w:rFonts w:hint="eastAsia" w:ascii="仿宋_GB2312" w:hAnsi="仿宋" w:eastAsia="仿宋_GB2312" w:cs="Times New Roman"/>
          <w:snapToGrid w:val="0"/>
          <w:kern w:val="0"/>
          <w:sz w:val="32"/>
          <w:szCs w:val="32"/>
          <w:lang w:val="en-US" w:eastAsia="zh-CN" w:bidi="ar-SA"/>
        </w:rPr>
        <w:t>是指以农作物秸秆覆盖还田、免（少）耕播种为主要内容的现代耕作技术。符合行动计划技术要求的保护性耕作应在地表有一定量秸秆或根茬（以下简称秸秆）覆盖，且进行免（少）耕播种作业。</w:t>
      </w:r>
    </w:p>
    <w:p w14:paraId="396B3041">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snapToGrid w:val="0"/>
          <w:kern w:val="0"/>
          <w:sz w:val="32"/>
          <w:szCs w:val="32"/>
        </w:rPr>
      </w:pPr>
      <w:r>
        <w:rPr>
          <w:rFonts w:hint="eastAsia" w:ascii="仿宋_GB2312" w:eastAsia="仿宋_GB2312"/>
          <w:b/>
          <w:snapToGrid w:val="0"/>
          <w:kern w:val="0"/>
          <w:sz w:val="32"/>
          <w:szCs w:val="32"/>
        </w:rPr>
        <w:t>免耕播种</w:t>
      </w:r>
      <w:r>
        <w:rPr>
          <w:rFonts w:hint="eastAsia" w:ascii="仿宋_GB2312" w:hAnsi="仿宋" w:eastAsia="仿宋_GB2312" w:cs="Times New Roman"/>
          <w:snapToGrid w:val="0"/>
          <w:kern w:val="0"/>
          <w:sz w:val="32"/>
          <w:szCs w:val="32"/>
          <w:lang w:val="en-US" w:eastAsia="zh-CN" w:bidi="ar-SA"/>
        </w:rPr>
        <w:t>是指前茬作物收获后至播种作业完成，除深松作业和播种开沟作业动土外，没有任何其他形式的动土作业；</w:t>
      </w:r>
    </w:p>
    <w:p w14:paraId="057A960F">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b/>
          <w:snapToGrid w:val="0"/>
          <w:kern w:val="0"/>
          <w:sz w:val="32"/>
          <w:szCs w:val="32"/>
        </w:rPr>
        <w:t>少耕播种</w:t>
      </w:r>
      <w:r>
        <w:rPr>
          <w:rFonts w:hint="eastAsia" w:ascii="仿宋_GB2312" w:hAnsi="仿宋" w:eastAsia="仿宋_GB2312" w:cs="Times New Roman"/>
          <w:snapToGrid w:val="0"/>
          <w:kern w:val="0"/>
          <w:sz w:val="32"/>
          <w:szCs w:val="32"/>
          <w:lang w:val="en-US" w:eastAsia="zh-CN" w:bidi="ar-SA"/>
        </w:rPr>
        <w:t>是指在播种作业前或播种作业时采取条耕（旋）、浅耕、灭茬或耙（碎）混等方式进行耕整地或秸秆处理作业，少耕播种方式土壤耕作强度低于传统耕作方式。</w:t>
      </w:r>
    </w:p>
    <w:p w14:paraId="466DF2B6">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hAnsi="仿宋" w:eastAsia="仿宋_GB2312" w:cs="Times New Roman"/>
          <w:snapToGrid w:val="0"/>
          <w:kern w:val="0"/>
          <w:sz w:val="32"/>
          <w:szCs w:val="32"/>
          <w:lang w:val="en-US" w:eastAsia="zh-CN" w:bidi="ar-SA"/>
        </w:rPr>
        <w:t>由于各街道不同区域的土壤、水分、积温、经营规模等情况不尽相同，各街道可因地制宜确定免（少）耕和秸秆覆盖标准，不搞“一刀切”。</w:t>
      </w:r>
    </w:p>
    <w:p w14:paraId="68B72AD2">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（二）主要技术模式</w:t>
      </w:r>
    </w:p>
    <w:p w14:paraId="680296A4">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hAnsi="仿宋" w:eastAsia="仿宋_GB2312" w:cs="Times New Roman"/>
          <w:snapToGrid w:val="0"/>
          <w:kern w:val="0"/>
          <w:sz w:val="32"/>
          <w:szCs w:val="32"/>
          <w:lang w:val="en-US" w:eastAsia="zh-CN" w:bidi="ar-SA"/>
        </w:rPr>
        <w:t>保护性耕作的秸秆覆盖还田环节按照播种前秸秆覆盖地表程度可分为三种类型，第一档是秸秆少量覆盖还田，收获后地表留有根茬，秸秆覆盖率在30%以内；第二档是秸秆部分覆盖还田，秸秆覆盖率在30%-60%之间；第三档是秸秆大量覆盖还田，秸秆覆盖率达到60%及以上。根据秸秆覆盖地表程度和地理特点，我区主要推广三种技术类型的六种技术模式。</w:t>
      </w:r>
    </w:p>
    <w:p w14:paraId="4B7ED183">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b/>
          <w:snapToGrid w:val="0"/>
          <w:kern w:val="0"/>
          <w:sz w:val="32"/>
          <w:szCs w:val="32"/>
        </w:rPr>
      </w:pPr>
      <w:r>
        <w:rPr>
          <w:rFonts w:hint="eastAsia" w:ascii="仿宋_GB2312" w:eastAsia="仿宋_GB2312"/>
          <w:b/>
          <w:snapToGrid w:val="0"/>
          <w:kern w:val="0"/>
          <w:sz w:val="32"/>
          <w:szCs w:val="32"/>
        </w:rPr>
        <w:t>1.秸秆大量覆盖还田免（少）耕播种技术类型</w:t>
      </w:r>
    </w:p>
    <w:p w14:paraId="13CDA0E2">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snapToGrid w:val="0"/>
          <w:kern w:val="0"/>
          <w:sz w:val="32"/>
          <w:szCs w:val="32"/>
        </w:rPr>
      </w:pPr>
      <w:r>
        <w:rPr>
          <w:rFonts w:hint="eastAsia" w:ascii="仿宋_GB2312" w:eastAsia="仿宋_GB2312"/>
          <w:b/>
          <w:snapToGrid w:val="0"/>
          <w:kern w:val="0"/>
          <w:sz w:val="32"/>
          <w:szCs w:val="32"/>
        </w:rPr>
        <w:t>（1）秸秆大量覆盖还田免耕播种。</w:t>
      </w:r>
      <w:r>
        <w:rPr>
          <w:rFonts w:hint="eastAsia" w:ascii="仿宋_GB2312" w:hAnsi="仿宋" w:eastAsia="仿宋_GB2312" w:cs="Times New Roman"/>
          <w:snapToGrid w:val="0"/>
          <w:kern w:val="0"/>
          <w:sz w:val="32"/>
          <w:szCs w:val="32"/>
          <w:lang w:val="en-US" w:eastAsia="zh-CN" w:bidi="ar-SA"/>
        </w:rPr>
        <w:t>上茬作物收获时，秸秆粉碎后直接还田均匀覆盖地表。春季播种前或播种的同时进行秸秆归行处理，将播种带秸秆集中到休闲带后，在播种带上进行免耕播种作业；也可不进行任何整地作业，直接进行免耕播种作业。</w:t>
      </w:r>
    </w:p>
    <w:p w14:paraId="0DD70902">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b/>
          <w:snapToGrid w:val="0"/>
          <w:kern w:val="0"/>
          <w:sz w:val="32"/>
          <w:szCs w:val="32"/>
        </w:rPr>
        <w:t>（2）秸秆大量覆盖还田少耕播种。</w:t>
      </w:r>
      <w:r>
        <w:rPr>
          <w:rFonts w:hint="eastAsia" w:ascii="仿宋_GB2312" w:hAnsi="仿宋" w:eastAsia="仿宋_GB2312" w:cs="Times New Roman"/>
          <w:snapToGrid w:val="0"/>
          <w:kern w:val="0"/>
          <w:sz w:val="32"/>
          <w:szCs w:val="32"/>
          <w:lang w:val="en-US" w:eastAsia="zh-CN" w:bidi="ar-SA"/>
        </w:rPr>
        <w:t>上茬作物收获时，秸秆粉碎后直接还田均匀覆盖地表。秋季秸秆还田后或春季播种前对播种带上面的秸秆或根茬进行简单处理后，进行少耕播种作业；也可进行苗带整地播种联合作业。</w:t>
      </w:r>
    </w:p>
    <w:p w14:paraId="19A639B9">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b/>
          <w:snapToGrid w:val="0"/>
          <w:kern w:val="0"/>
          <w:sz w:val="32"/>
          <w:szCs w:val="32"/>
        </w:rPr>
      </w:pPr>
      <w:r>
        <w:rPr>
          <w:rFonts w:hint="eastAsia" w:ascii="仿宋_GB2312" w:eastAsia="仿宋_GB2312"/>
          <w:b/>
          <w:snapToGrid w:val="0"/>
          <w:kern w:val="0"/>
          <w:sz w:val="32"/>
          <w:szCs w:val="32"/>
        </w:rPr>
        <w:t>2.秸秆部分覆盖还田免（少）耕播种技术类型</w:t>
      </w:r>
    </w:p>
    <w:p w14:paraId="203DEFC1">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b/>
          <w:snapToGrid w:val="0"/>
          <w:kern w:val="0"/>
          <w:sz w:val="32"/>
          <w:szCs w:val="32"/>
        </w:rPr>
        <w:t>（1）秸秆部分覆盖还田免耕播种。</w:t>
      </w:r>
      <w:r>
        <w:rPr>
          <w:rFonts w:hint="eastAsia" w:ascii="仿宋_GB2312" w:hAnsi="仿宋" w:eastAsia="仿宋_GB2312" w:cs="Times New Roman"/>
          <w:snapToGrid w:val="0"/>
          <w:kern w:val="0"/>
          <w:sz w:val="32"/>
          <w:szCs w:val="32"/>
          <w:lang w:val="en-US" w:eastAsia="zh-CN" w:bidi="ar-SA"/>
        </w:rPr>
        <w:t>上茬作物收获时，秸秆粉碎后直接还田，地表覆盖部分秸秆，丘陵坡耕地也可整秆覆盖地表越冬。春季播种前或播种的同时进行秸秆归行处理，将播种带秸秆集中到休闲带后，在播种带上进行免耕播种作业；也可不进行任何整地作业，直接进行免耕播种作业。丘陵坡耕地可采用满足作业要求的小型机具直接进行免耕播种作业。</w:t>
      </w:r>
    </w:p>
    <w:p w14:paraId="5E953735">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b/>
          <w:snapToGrid w:val="0"/>
          <w:kern w:val="0"/>
          <w:sz w:val="32"/>
          <w:szCs w:val="32"/>
        </w:rPr>
        <w:t>（2）秸秆部分覆盖还田少耕播种。</w:t>
      </w:r>
      <w:r>
        <w:rPr>
          <w:rFonts w:hint="eastAsia" w:ascii="仿宋_GB2312" w:hAnsi="仿宋" w:eastAsia="仿宋_GB2312" w:cs="Times New Roman"/>
          <w:snapToGrid w:val="0"/>
          <w:kern w:val="0"/>
          <w:sz w:val="32"/>
          <w:szCs w:val="32"/>
          <w:lang w:val="en-US" w:eastAsia="zh-CN" w:bidi="ar-SA"/>
        </w:rPr>
        <w:t>上茬作物收获时，秸秆粉碎后直接还田，地表覆盖部分秸秆，丘陵坡耕地也可整秆覆盖地表越冬。秋季秸秆还田后或春季播种前对播种带上面的秸秆或根茬进行简单处理后，进行少耕播种作业；也可进行苗带整地播种联合作业。丘陵坡耕地可采用满足作业要求的小型机具进行少耕播种作业。</w:t>
      </w:r>
    </w:p>
    <w:p w14:paraId="2F196EBC">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b/>
          <w:snapToGrid w:val="0"/>
          <w:kern w:val="0"/>
          <w:sz w:val="32"/>
          <w:szCs w:val="32"/>
        </w:rPr>
      </w:pPr>
      <w:r>
        <w:rPr>
          <w:rFonts w:hint="eastAsia" w:ascii="仿宋_GB2312" w:eastAsia="仿宋_GB2312"/>
          <w:b/>
          <w:snapToGrid w:val="0"/>
          <w:kern w:val="0"/>
          <w:sz w:val="32"/>
          <w:szCs w:val="32"/>
        </w:rPr>
        <w:t>3.秸秆少量覆盖还田免（少）耕播种技术类型</w:t>
      </w:r>
    </w:p>
    <w:p w14:paraId="06E536B0">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b/>
          <w:snapToGrid w:val="0"/>
          <w:kern w:val="0"/>
          <w:sz w:val="32"/>
          <w:szCs w:val="32"/>
        </w:rPr>
        <w:t>（1）秸秆少量覆盖还田免耕播种。</w:t>
      </w:r>
      <w:r>
        <w:rPr>
          <w:rFonts w:hint="eastAsia" w:ascii="仿宋_GB2312" w:hAnsi="仿宋" w:eastAsia="仿宋_GB2312" w:cs="Times New Roman"/>
          <w:snapToGrid w:val="0"/>
          <w:kern w:val="0"/>
          <w:sz w:val="32"/>
          <w:szCs w:val="32"/>
          <w:lang w:val="en-US" w:eastAsia="zh-CN" w:bidi="ar-SA"/>
        </w:rPr>
        <w:t>上茬作物收获时，秸秆粉碎后直接还田，地表覆盖少量秸秆或根茬，丘陵坡耕地也可整秆覆盖地表越冬。不进行任何整地作业，直接进行免耕播种作业。丘陵坡耕地可采用满足作业要求的小型机具直接进行免耕播种作业。</w:t>
      </w:r>
    </w:p>
    <w:p w14:paraId="50F9A8C9">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b/>
          <w:snapToGrid w:val="0"/>
          <w:kern w:val="0"/>
          <w:sz w:val="32"/>
          <w:szCs w:val="32"/>
        </w:rPr>
        <w:t>（2）秸秆少量覆盖还田少耕播种。</w:t>
      </w:r>
      <w:r>
        <w:rPr>
          <w:rFonts w:hint="eastAsia" w:ascii="仿宋_GB2312" w:hAnsi="仿宋" w:eastAsia="仿宋_GB2312" w:cs="Times New Roman"/>
          <w:snapToGrid w:val="0"/>
          <w:kern w:val="0"/>
          <w:sz w:val="32"/>
          <w:szCs w:val="32"/>
          <w:lang w:val="en-US" w:eastAsia="zh-CN" w:bidi="ar-SA"/>
        </w:rPr>
        <w:t>上茬作物收获时，秸秆粉碎后直接还田，地表覆盖少量秸秆或根茬，丘陵坡耕地也可整秆覆盖地表越冬。秋季秸秆还田后或春季播种前对播种带上面的秸秆或根茬进行简单处理后，进行少耕播种作业；也可进行苗带整地播种联合作业。丘陵坡耕地可采用满足作业要求的小型机具进行少耕播种作业。</w:t>
      </w:r>
    </w:p>
    <w:p w14:paraId="52768A3A">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楷体_GB2312" w:eastAsia="楷体_GB2312"/>
          <w:b/>
          <w:snapToGrid w:val="0"/>
          <w:kern w:val="0"/>
          <w:sz w:val="32"/>
          <w:szCs w:val="32"/>
        </w:rPr>
        <w:t>（三）配合大面积提升单产技术要求</w:t>
      </w:r>
    </w:p>
    <w:p w14:paraId="1475EE20">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hAnsi="仿宋" w:eastAsia="仿宋_GB2312" w:cs="Times New Roman"/>
          <w:snapToGrid w:val="0"/>
          <w:kern w:val="0"/>
          <w:sz w:val="32"/>
          <w:szCs w:val="32"/>
          <w:lang w:val="en-US" w:eastAsia="zh-CN" w:bidi="ar-SA"/>
        </w:rPr>
        <w:t>保护性耕作主推技术模式要体现大面积提升单产工作要求。要以合理密植为方向，将免（少）耕播种与浅埋滴灌、水肥一体化、苗期深松、分层分次施肥、一喷多促、构建合理耕层等提单产技术集成配套，努力强化保护性耕作在单产提升方面的效果。各地应结合本地区土壤类型、降雨量、积温、经营规模、秸秆其他用途需求量等实际情况，因地制宜推动本区域保护性耕作技术模式优化。做好当年保护性耕作的同时，要探索轮耕制度的实施，建立少耕、免耕交替，定期深松的轮耕沃土养地制度，实现黑土地“保养用”协调可持续发展。</w:t>
      </w:r>
    </w:p>
    <w:p w14:paraId="6082869B">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1.</w:t>
      </w:r>
      <w:r>
        <w:rPr>
          <w:rFonts w:hint="eastAsia" w:ascii="仿宋_GB2312" w:eastAsia="仿宋_GB2312"/>
          <w:b/>
          <w:snapToGrid w:val="0"/>
          <w:kern w:val="0"/>
          <w:sz w:val="32"/>
          <w:szCs w:val="32"/>
        </w:rPr>
        <w:t>对于干旱半干旱区</w:t>
      </w:r>
      <w:r>
        <w:rPr>
          <w:rFonts w:hint="eastAsia" w:ascii="仿宋_GB2312" w:eastAsia="仿宋_GB2312"/>
          <w:snapToGrid w:val="0"/>
          <w:kern w:val="0"/>
          <w:sz w:val="32"/>
          <w:szCs w:val="32"/>
        </w:rPr>
        <w:t>，</w:t>
      </w:r>
      <w:r>
        <w:rPr>
          <w:rFonts w:hint="eastAsia" w:ascii="仿宋_GB2312" w:hAnsi="仿宋" w:eastAsia="仿宋_GB2312" w:cs="Times New Roman"/>
          <w:snapToGrid w:val="0"/>
          <w:kern w:val="0"/>
          <w:sz w:val="32"/>
          <w:szCs w:val="32"/>
          <w:lang w:val="en-US" w:eastAsia="zh-CN" w:bidi="ar-SA"/>
        </w:rPr>
        <w:t>可在秸秆大量覆盖条件下进行免耕播种，必要时也可进行少耕播种。对于冬春季强风沙地区，可采取留高茬（25cm左右）并保留部分秸秆（秸秆可不粉碎）方式，或秸秆整秆覆盖方式，并采用免耕播种方式。</w:t>
      </w:r>
    </w:p>
    <w:p w14:paraId="243333BF">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 w:eastAsia="仿宋_GB2312" w:cs="Times New Roman"/>
          <w:snapToGrid w:val="0"/>
          <w:kern w:val="0"/>
          <w:sz w:val="32"/>
          <w:szCs w:val="32"/>
          <w:lang w:val="en-US" w:eastAsia="zh-CN" w:bidi="ar-SA"/>
        </w:rPr>
      </w:pPr>
      <w:r>
        <w:rPr>
          <w:rFonts w:hint="eastAsia" w:ascii="仿宋_GB2312" w:eastAsia="仿宋_GB2312"/>
          <w:snapToGrid w:val="0"/>
          <w:kern w:val="0"/>
          <w:sz w:val="32"/>
          <w:szCs w:val="32"/>
        </w:rPr>
        <w:t>2.</w:t>
      </w:r>
      <w:r>
        <w:rPr>
          <w:rFonts w:hint="eastAsia" w:ascii="仿宋_GB2312" w:eastAsia="仿宋_GB2312"/>
          <w:b/>
          <w:snapToGrid w:val="0"/>
          <w:kern w:val="0"/>
          <w:sz w:val="32"/>
          <w:szCs w:val="32"/>
        </w:rPr>
        <w:t>对于冷凉地区、土壤黏重区、低洼易涝区和丘陵半山区域</w:t>
      </w:r>
      <w:r>
        <w:rPr>
          <w:rFonts w:hint="eastAsia" w:ascii="仿宋_GB2312" w:eastAsia="仿宋_GB2312"/>
          <w:snapToGrid w:val="0"/>
          <w:kern w:val="0"/>
          <w:sz w:val="32"/>
          <w:szCs w:val="32"/>
        </w:rPr>
        <w:t>，</w:t>
      </w:r>
      <w:r>
        <w:rPr>
          <w:rFonts w:hint="eastAsia" w:ascii="仿宋_GB2312" w:hAnsi="仿宋" w:eastAsia="仿宋_GB2312" w:cs="Times New Roman"/>
          <w:snapToGrid w:val="0"/>
          <w:kern w:val="0"/>
          <w:sz w:val="32"/>
          <w:szCs w:val="32"/>
          <w:lang w:val="en-US" w:eastAsia="zh-CN" w:bidi="ar-SA"/>
        </w:rPr>
        <w:t>可采取条耕、秸秆覆盖垄作、灭茬、浅耕、耙（碎）混等耕整地方式配套苗期深松、秸秆归行等措施的技术模式，以提高地温，确保出苗质量。</w:t>
      </w:r>
    </w:p>
    <w:p w14:paraId="46068802">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3.</w:t>
      </w:r>
      <w:r>
        <w:rPr>
          <w:rFonts w:hint="eastAsia" w:ascii="仿宋_GB2312" w:eastAsia="仿宋_GB2312"/>
          <w:b/>
          <w:snapToGrid w:val="0"/>
          <w:kern w:val="0"/>
          <w:sz w:val="32"/>
          <w:szCs w:val="32"/>
        </w:rPr>
        <w:t>对于秸秆量过大的区域</w:t>
      </w:r>
      <w:r>
        <w:rPr>
          <w:rFonts w:hint="eastAsia" w:ascii="仿宋_GB2312" w:eastAsia="仿宋_GB2312"/>
          <w:snapToGrid w:val="0"/>
          <w:kern w:val="0"/>
          <w:sz w:val="32"/>
          <w:szCs w:val="32"/>
        </w:rPr>
        <w:t>，可采取宽窄行种植或比空种植方式，并对秸秆实行部分离田处理或归行处理后，再进行免耕播种或条耕播种。风蚀较轻的地区，可对秸秆进行粉碎处理。</w:t>
      </w:r>
    </w:p>
    <w:p w14:paraId="2920B47E">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color w:val="000000"/>
          <w:kern w:val="0"/>
          <w:sz w:val="32"/>
          <w:szCs w:val="32"/>
        </w:rPr>
      </w:pPr>
      <w:r>
        <w:rPr>
          <w:rFonts w:hint="eastAsia" w:ascii="仿宋_GB2312" w:eastAsia="仿宋_GB2312"/>
          <w:snapToGrid w:val="0"/>
          <w:kern w:val="0"/>
          <w:sz w:val="32"/>
          <w:szCs w:val="32"/>
        </w:rPr>
        <w:t>4.</w:t>
      </w:r>
      <w:r>
        <w:rPr>
          <w:rFonts w:hint="eastAsia" w:ascii="仿宋_GB2312" w:eastAsia="仿宋_GB2312"/>
          <w:b/>
          <w:snapToGrid w:val="0"/>
          <w:kern w:val="0"/>
          <w:sz w:val="32"/>
          <w:szCs w:val="32"/>
        </w:rPr>
        <w:t>对于农牧交错带等秸秆饲用需求大的区域</w:t>
      </w:r>
      <w:r>
        <w:rPr>
          <w:rFonts w:hint="eastAsia" w:ascii="仿宋_GB2312" w:eastAsia="仿宋_GB2312"/>
          <w:snapToGrid w:val="0"/>
          <w:kern w:val="0"/>
          <w:sz w:val="32"/>
          <w:szCs w:val="32"/>
        </w:rPr>
        <w:t>，应兼顾种养业协调发展，可采取秸秆部分离田处理方式，但应留高茬（25cm左右）并保留一定秸秆覆盖地表，再进行免（少）耕播种</w:t>
      </w:r>
      <w:r>
        <w:rPr>
          <w:rFonts w:hint="eastAsia" w:ascii="仿宋_GB2312" w:eastAsia="仿宋_GB2312"/>
          <w:snapToGrid w:val="0"/>
          <w:color w:val="000000"/>
          <w:kern w:val="0"/>
          <w:sz w:val="32"/>
          <w:szCs w:val="32"/>
        </w:rPr>
        <w:t>。</w:t>
      </w:r>
    </w:p>
    <w:p w14:paraId="12EBF4DC">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楷体_GB2312" w:eastAsia="楷体_GB2312"/>
          <w:b/>
          <w:snapToGrid w:val="0"/>
          <w:kern w:val="0"/>
          <w:sz w:val="32"/>
          <w:szCs w:val="32"/>
        </w:rPr>
        <w:t>（四）高标准应用基地建设要求</w:t>
      </w:r>
    </w:p>
    <w:p w14:paraId="46772F6D">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高标准应用基地是规范应用并持续优化保护性耕作技术、试验不同技术模式的重要阵地；是展示本区域先进适用的秸秆覆盖、免（少）耕播种技术、水肥高效利用、地力培肥及配套病虫草害防治等关键技术与装备，推进农机农艺融合的重要载体；是开展培训宣传、积累监测数据的重要平台。</w:t>
      </w:r>
    </w:p>
    <w:p w14:paraId="1D7E27D1">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基地应相对集中，县、乡级基地单个面积分别不少于1000亩、200亩，必须全部为自有或流转耕地。基地在秸秆覆盖上应做到高标准、严要求，原则上应以玉米秸秆大量覆盖还田（覆盖率60%以上）为主。鼓励多采取免耕播种方式，免耕播种面积应达到基地面积的30%，即县级基地不少于300亩、乡级基地不少于60亩。</w:t>
      </w:r>
      <w:r>
        <w:rPr>
          <w:rFonts w:hint="eastAsia" w:ascii="仿宋_GB2312" w:eastAsia="仿宋_GB2312"/>
          <w:snapToGrid w:val="0"/>
          <w:kern w:val="0"/>
          <w:sz w:val="32"/>
          <w:szCs w:val="32"/>
        </w:rPr>
        <w:t>基地应配备技术支撑单位，负责对基地的技术指导服务，监测各项技术指标，认真填写监测数据，及时分析数据和梳理总结。</w:t>
      </w:r>
    </w:p>
    <w:p w14:paraId="5FD72B1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各街道要规范实施县、乡基地建设标准，有条件的地区可因地制宜合理建设县、乡级基地，应兼顾作业任务、实施质量、示范效果、区域布局、乡村数量、适宜规模和生产需求等，通过政策连续支持，引领域内高标准高质量保护性耕作应用和发展，带动保护性耕作实施面积稳步扩大，实施质量逐步提升。县级基地须经街道、区级农机主管部门审核同意报省级农机主管部门审定后实施，乡级基地须经街道、区级农机主管部门审核同意报市级农机主管部门审定后实施。</w:t>
      </w:r>
    </w:p>
    <w:p w14:paraId="2B241697">
      <w:pPr>
        <w:pStyle w:val="2"/>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楷体_GB2312" w:eastAsia="楷体_GB2312"/>
          <w:b/>
          <w:snapToGrid w:val="0"/>
          <w:kern w:val="0"/>
        </w:rPr>
      </w:pPr>
      <w:r>
        <w:rPr>
          <w:rFonts w:hint="eastAsia" w:ascii="楷体_GB2312" w:eastAsia="楷体_GB2312"/>
          <w:b/>
          <w:snapToGrid w:val="0"/>
          <w:kern w:val="0"/>
        </w:rPr>
        <w:t>（五）整体推进县（乡、村）建设要求</w:t>
      </w:r>
    </w:p>
    <w:p w14:paraId="702791B3">
      <w:pPr>
        <w:pStyle w:val="2"/>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rPr>
      </w:pPr>
      <w:r>
        <w:rPr>
          <w:rFonts w:hint="eastAsia" w:ascii="仿宋_GB2312" w:eastAsia="仿宋_GB2312"/>
          <w:snapToGrid w:val="0"/>
          <w:kern w:val="0"/>
        </w:rPr>
        <w:t>整体推进县（乡、村）是推进规模化秸秆覆盖还田免（少）耕播种作业、率先构建保护性耕作技术装备体系和推广应用体系的重要区域。通过连续3年实施，县、乡、村域内保护性耕作实施面积占比原则上分别达到县、乡、村域内适宜区域的50%、60%、70%以上。对于已达到整体推进建设要求的，应支持建设整体推进县、乡、村，尤其是支持玉米、大豆大面积单产提升整建制推进县、乡、村建设为保护性耕作整体推进县、乡、村。</w:t>
      </w:r>
    </w:p>
    <w:p w14:paraId="24084867">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黑体" w:hAnsi="黑体" w:eastAsia="黑体"/>
          <w:snapToGrid w:val="0"/>
          <w:kern w:val="0"/>
          <w:sz w:val="32"/>
          <w:szCs w:val="32"/>
        </w:rPr>
      </w:pPr>
      <w:r>
        <w:rPr>
          <w:rFonts w:hint="eastAsia" w:ascii="黑体" w:hAnsi="黑体" w:eastAsia="黑体"/>
          <w:snapToGrid w:val="0"/>
          <w:kern w:val="0"/>
          <w:sz w:val="32"/>
          <w:szCs w:val="32"/>
        </w:rPr>
        <w:t>四、扶持政策</w:t>
      </w:r>
    </w:p>
    <w:p w14:paraId="11034CA2">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hAnsi="楷体_GB2312" w:eastAsia="楷体_GB2312" w:cs="楷体_GB2312"/>
          <w:b/>
          <w:snapToGrid w:val="0"/>
          <w:kern w:val="0"/>
          <w:sz w:val="32"/>
          <w:szCs w:val="32"/>
        </w:rPr>
      </w:pPr>
      <w:r>
        <w:rPr>
          <w:rFonts w:hint="eastAsia" w:ascii="楷体_GB2312" w:hAnsi="楷体_GB2312" w:eastAsia="楷体_GB2312" w:cs="楷体_GB2312"/>
          <w:b/>
          <w:snapToGrid w:val="0"/>
          <w:kern w:val="0"/>
          <w:sz w:val="32"/>
          <w:szCs w:val="32"/>
        </w:rPr>
        <w:t>（一）补助对象</w:t>
      </w:r>
    </w:p>
    <w:p w14:paraId="2C1A02E1">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补助对象为实施保护性耕作作业的农机合作社、农机户、家庭农场等农业生产经营主体、自愿实施保护性耕作的土地经营者（以下简称实施主体）。</w:t>
      </w:r>
    </w:p>
    <w:p w14:paraId="507E9F47">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楷体_GB2312" w:eastAsia="楷体_GB2312"/>
          <w:b/>
          <w:snapToGrid w:val="0"/>
          <w:kern w:val="0"/>
          <w:sz w:val="32"/>
          <w:szCs w:val="32"/>
        </w:rPr>
        <w:t>（二）资金支持</w:t>
      </w:r>
    </w:p>
    <w:p w14:paraId="14CDA2EE">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通过中央财政耕地建设与利用专项（黑土地保护方向）安排补助资金，主要用于支持保护性耕作作业补助和高标准保护性耕作应用基地建设。各街道要用足用好本地区保护性耕作补助资金，加强资金统筹，确保专款专用，充分调动实施主体积极性，推动高质量完成本年度任务面积。</w:t>
      </w:r>
    </w:p>
    <w:p w14:paraId="1192B6D8">
      <w:pPr>
        <w:keepNext w:val="0"/>
        <w:keepLines w:val="0"/>
        <w:pageBreakBefore w:val="0"/>
        <w:widowControl w:val="0"/>
        <w:numPr>
          <w:ilvl w:val="0"/>
          <w:numId w:val="1"/>
        </w:numPr>
        <w:tabs>
          <w:tab w:val="left" w:pos="3420"/>
        </w:tabs>
        <w:kinsoku/>
        <w:wordWrap/>
        <w:overflowPunct/>
        <w:topLinePunct w:val="0"/>
        <w:autoSpaceDE/>
        <w:autoSpaceDN/>
        <w:bidi w:val="0"/>
        <w:adjustRightInd w:val="0"/>
        <w:snapToGrid w:val="0"/>
        <w:spacing w:line="579" w:lineRule="exact"/>
        <w:ind w:firstLine="720"/>
        <w:jc w:val="left"/>
        <w:textAlignment w:val="auto"/>
        <w:rPr>
          <w:rFonts w:hint="eastAsia" w:ascii="楷体_GB2312" w:eastAsia="楷体_GB2312"/>
          <w:b/>
          <w:snapToGrid w:val="0"/>
          <w:kern w:val="0"/>
          <w:sz w:val="32"/>
          <w:szCs w:val="32"/>
        </w:rPr>
      </w:pPr>
      <w:r>
        <w:rPr>
          <w:rFonts w:hint="eastAsia" w:ascii="楷体_GB2312" w:eastAsia="楷体_GB2312"/>
          <w:b/>
          <w:snapToGrid w:val="0"/>
          <w:kern w:val="0"/>
          <w:sz w:val="32"/>
          <w:szCs w:val="32"/>
        </w:rPr>
        <w:t>实行差异化作业补助</w:t>
      </w:r>
    </w:p>
    <w:p w14:paraId="1C460649">
      <w:pPr>
        <w:keepNext w:val="0"/>
        <w:keepLines w:val="0"/>
        <w:pageBreakBefore w:val="0"/>
        <w:widowControl w:val="0"/>
        <w:numPr>
          <w:ilvl w:val="0"/>
          <w:numId w:val="0"/>
        </w:numPr>
        <w:tabs>
          <w:tab w:val="left" w:pos="3420"/>
        </w:tabs>
        <w:kinsoku/>
        <w:wordWrap/>
        <w:overflowPunct/>
        <w:topLinePunct w:val="0"/>
        <w:autoSpaceDE/>
        <w:autoSpaceDN/>
        <w:bidi w:val="0"/>
        <w:adjustRightInd w:val="0"/>
        <w:snapToGrid w:val="0"/>
        <w:spacing w:line="579" w:lineRule="exact"/>
        <w:ind w:firstLine="640" w:firstLineChars="200"/>
        <w:jc w:val="left"/>
        <w:textAlignment w:val="auto"/>
        <w:rPr>
          <w:rFonts w:ascii="仿宋_GB2312" w:hAnsi="仿宋" w:eastAsia="仿宋_GB2312"/>
          <w:snapToGrid w:val="0"/>
          <w:kern w:val="0"/>
          <w:sz w:val="32"/>
          <w:szCs w:val="32"/>
        </w:rPr>
      </w:pPr>
      <w:r>
        <w:rPr>
          <w:rFonts w:hint="eastAsia" w:ascii="仿宋_GB2312" w:eastAsia="仿宋_GB2312"/>
          <w:snapToGrid w:val="0"/>
          <w:kern w:val="0"/>
          <w:sz w:val="32"/>
          <w:szCs w:val="32"/>
        </w:rPr>
        <w:t>为有效提高补助资金引导作用，鼓励增加地表秸秆覆盖量，引导保护性耕作向高质量发展，持续提升实施效果，2025年我区继续实行保护性耕作差异化作业补助。</w:t>
      </w:r>
      <w:r>
        <w:rPr>
          <w:rFonts w:hint="eastAsia" w:ascii="仿宋_GB2312" w:hAnsi="仿宋" w:eastAsia="仿宋_GB2312"/>
          <w:snapToGrid w:val="0"/>
          <w:kern w:val="0"/>
          <w:sz w:val="32"/>
          <w:szCs w:val="32"/>
        </w:rPr>
        <w:t>按照《沈阳市农业农村局 沈阳市财政局关于印发沈阳市2025年黑土地保护性耕作实施方案的通知》（沈农机发〔2025〕43号），</w:t>
      </w:r>
      <w:r>
        <w:rPr>
          <w:rFonts w:hint="eastAsia" w:ascii="仿宋_GB2312" w:eastAsia="仿宋_GB2312"/>
          <w:snapToGrid w:val="0"/>
          <w:kern w:val="0"/>
          <w:sz w:val="32"/>
          <w:szCs w:val="32"/>
        </w:rPr>
        <w:t>前茬作物为玉米时，差异化补助按照播种前秸秆覆盖地表程度分为3档，</w:t>
      </w:r>
      <w:r>
        <w:rPr>
          <w:rFonts w:hint="eastAsia" w:ascii="仿宋_GB2312" w:hAnsi="仿宋" w:eastAsia="仿宋_GB2312"/>
          <w:snapToGrid w:val="0"/>
          <w:kern w:val="0"/>
          <w:sz w:val="32"/>
          <w:szCs w:val="32"/>
        </w:rPr>
        <w:t>使用中央财政资金原则上第一档（秸秆少量覆盖还田）标准对应作业补助不高于35元/亩(验收合格总面积超出计划任务面积，上级补贴资金总额不变，第一档每亩补贴标准按上级下发资金总额进行动态调整)，第二档（秸秆部分覆盖还田）不高于50元/亩，第三档（秸秆大量覆盖还田）不高于90元/亩(第二档、第三档不进行调整)。按照《关于印发浑南区2024至2025年度农作物秸秆利用全量化处置工作方案的通知》（沈浑农字</w:t>
      </w:r>
      <w:r>
        <w:rPr>
          <w:rFonts w:hint="eastAsia" w:ascii="仿宋_GB2312" w:eastAsia="仿宋_GB2312"/>
          <w:snapToGrid w:val="0"/>
          <w:kern w:val="0"/>
          <w:sz w:val="32"/>
          <w:szCs w:val="32"/>
        </w:rPr>
        <w:t>〔2024〕138号</w:t>
      </w:r>
      <w:r>
        <w:rPr>
          <w:rFonts w:hint="eastAsia" w:ascii="仿宋_GB2312" w:hAnsi="仿宋" w:eastAsia="仿宋_GB2312"/>
          <w:snapToGrid w:val="0"/>
          <w:kern w:val="0"/>
          <w:sz w:val="32"/>
          <w:szCs w:val="32"/>
        </w:rPr>
        <w:t>），区财政按上级每档补贴标准基础上增加区级配套补贴资金10元/亩。</w:t>
      </w:r>
    </w:p>
    <w:p w14:paraId="5010637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同一地块不能同时申报保护性耕作与秸秆打包离田两项补贴，两项补贴不兼得。如同步实施深松作业，按省市下达补贴标准给予补助。</w:t>
      </w:r>
    </w:p>
    <w:p w14:paraId="2C4AEA8B">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hAnsi="仿宋" w:eastAsia="仿宋_GB2312"/>
          <w:snapToGrid w:val="0"/>
          <w:kern w:val="0"/>
          <w:sz w:val="32"/>
          <w:szCs w:val="32"/>
        </w:rPr>
      </w:pPr>
      <w:r>
        <w:rPr>
          <w:rFonts w:hint="eastAsia" w:ascii="仿宋_GB2312" w:hAnsi="仿宋" w:eastAsia="仿宋_GB2312"/>
          <w:snapToGrid w:val="0"/>
          <w:kern w:val="0"/>
          <w:sz w:val="32"/>
          <w:szCs w:val="32"/>
        </w:rPr>
        <w:t>各街道应</w:t>
      </w:r>
      <w:r>
        <w:rPr>
          <w:rFonts w:hint="eastAsia" w:ascii="仿宋_GB2312" w:eastAsia="仿宋_GB2312"/>
          <w:snapToGrid w:val="0"/>
          <w:kern w:val="0"/>
          <w:sz w:val="32"/>
          <w:szCs w:val="32"/>
        </w:rPr>
        <w:t>综合考虑玉米秸秆覆盖还田、免（少）耕播种作业成本、苗期相关作业以及秸秆离田收益等实际情况，不断激发实施主体和农民作业积极性，鼓励高质量高水平技术应用。行动计划实施收官之年</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各街道办事处要保持工作定力，坚持以提升实施质量为重点。在稳定一般性保护性耕作实施面积的基础上，通过差异化补助方式，有计划有步骤地引导高质量保护性耕作面积增加，做到“高质多补”；要注重示范带动效应，推动辐射带动面积持续增加。高质量保护性耕作应做到“多覆盖、少动土”，尽可能增加秸秆覆盖，减少土壤扰动。</w:t>
      </w:r>
    </w:p>
    <w:p w14:paraId="0CBEC94A">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b/>
          <w:snapToGrid w:val="0"/>
          <w:kern w:val="0"/>
          <w:sz w:val="32"/>
          <w:szCs w:val="32"/>
        </w:rPr>
      </w:pPr>
      <w:r>
        <w:rPr>
          <w:rFonts w:hint="eastAsia" w:ascii="仿宋_GB2312" w:eastAsia="仿宋_GB2312"/>
          <w:b/>
          <w:snapToGrid w:val="0"/>
          <w:kern w:val="0"/>
          <w:sz w:val="32"/>
          <w:szCs w:val="32"/>
        </w:rPr>
        <w:t>（四）支持高标准应用基地建设</w:t>
      </w:r>
    </w:p>
    <w:p w14:paraId="403D7143">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仿宋_GB2312" w:eastAsia="仿宋_GB2312"/>
          <w:snapToGrid w:val="0"/>
          <w:kern w:val="0"/>
          <w:sz w:val="32"/>
          <w:szCs w:val="32"/>
        </w:rPr>
        <w:t>持续加大基地建设支持力度，中央财政资金支持高标准应用基地建设补助标准为200元/亩。每个县、乡级基地补助资金额度分别为20万元、4万元，其中均包含技术支撑费，每个县、乡级基地分别按照5万元、1万元的标准合理安排使用补助资金，由各街道办事处或基地实施主体按照农业相关转移支付资金管理办法，通过政府购买服务、以奖代补、签订合同等方式委托相关技术支撑单位依托基地开展数据监测、对比试验、基础研究、技术指导、培训示范、宣传引导等工作。</w:t>
      </w:r>
    </w:p>
    <w:p w14:paraId="4C6AA6D7">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五、实施程序</w:t>
      </w:r>
    </w:p>
    <w:p w14:paraId="461D9DAE">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楷体_GB2312" w:eastAsia="楷体_GB2312"/>
          <w:b/>
          <w:snapToGrid w:val="0"/>
          <w:kern w:val="0"/>
          <w:sz w:val="32"/>
          <w:szCs w:val="32"/>
        </w:rPr>
        <w:t>（一）任务落实</w:t>
      </w:r>
    </w:p>
    <w:p w14:paraId="5E0FF6DF">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保护性耕作实施周期一般从前茬作物收获后秸秆处理开始，重点环节包括前茬作物秸秆处理和当季作物免（少）耕播种。各街道要在上年度秋季收获前逐级分解下达任务面积，至本年度春耕生产前将保护性耕作作业面积和高标准应用基地落实到具体实施主体、农户和地块，以便实施主体提前选定科学合理的秸秆处理方式。</w:t>
      </w:r>
    </w:p>
    <w:p w14:paraId="0AD9B7FE">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楷体_GB2312" w:eastAsia="楷体_GB2312"/>
          <w:b/>
          <w:snapToGrid w:val="0"/>
          <w:kern w:val="0"/>
          <w:sz w:val="32"/>
          <w:szCs w:val="32"/>
        </w:rPr>
        <w:t>（二）核实验收</w:t>
      </w:r>
    </w:p>
    <w:p w14:paraId="39ECB7BC">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仿宋_GB2312" w:eastAsia="仿宋_GB2312"/>
          <w:snapToGrid w:val="0"/>
          <w:kern w:val="0"/>
          <w:sz w:val="32"/>
          <w:szCs w:val="32"/>
        </w:rPr>
      </w:pPr>
      <w:r>
        <w:rPr>
          <w:rFonts w:hint="eastAsia" w:ascii="仿宋_GB2312" w:eastAsia="仿宋_GB2312"/>
          <w:b/>
          <w:snapToGrid w:val="0"/>
          <w:kern w:val="0"/>
          <w:sz w:val="32"/>
          <w:szCs w:val="32"/>
        </w:rPr>
        <w:t>1.全面核实验收。</w:t>
      </w:r>
      <w:r>
        <w:rPr>
          <w:rFonts w:hint="eastAsia" w:ascii="仿宋_GB2312" w:eastAsia="仿宋_GB2312"/>
          <w:snapToGrid w:val="0"/>
          <w:kern w:val="0"/>
          <w:sz w:val="32"/>
          <w:szCs w:val="32"/>
        </w:rPr>
        <w:t>根据本实施方案，各街道要细化具体的核实验收工作方案，明确作业质量标准和方法要求，在春季播种结束后，即可自行或按照市级保护性耕作奖补资金使用范围聘请第三方开展作业面积、地块及作业质量全面核实验收。保护性耕作作业后能否达到补助标准以及差异化补助的档次，依据秸秆覆盖率来确定。鉴于目前播种机作业时前置摄像头测定秸秆覆盖率技术已较为成熟且易于实现，2025年仍采用播种作业前秸秆覆盖率作为补助判定主要标准。</w:t>
      </w:r>
      <w:r>
        <w:rPr>
          <w:rFonts w:hint="eastAsia" w:ascii="仿宋_GB2312" w:eastAsia="仿宋_GB2312"/>
          <w:b/>
          <w:snapToGrid w:val="0"/>
          <w:kern w:val="0"/>
          <w:sz w:val="32"/>
          <w:szCs w:val="32"/>
        </w:rPr>
        <w:t>直接进行免（少）耕播种作业的，</w:t>
      </w:r>
      <w:r>
        <w:rPr>
          <w:rFonts w:hint="eastAsia" w:ascii="仿宋_GB2312" w:eastAsia="仿宋_GB2312"/>
          <w:snapToGrid w:val="0"/>
          <w:kern w:val="0"/>
          <w:sz w:val="32"/>
          <w:szCs w:val="32"/>
        </w:rPr>
        <w:t>采用播种机上安装的信息化监测系统采集的秸秆覆盖率和作业面积为判定依据；</w:t>
      </w:r>
      <w:r>
        <w:rPr>
          <w:rFonts w:hint="eastAsia" w:ascii="仿宋_GB2312" w:eastAsia="仿宋_GB2312"/>
          <w:b/>
          <w:snapToGrid w:val="0"/>
          <w:kern w:val="0"/>
          <w:sz w:val="32"/>
          <w:szCs w:val="32"/>
        </w:rPr>
        <w:t>播种前进行春季秸秆归行、深松、少耕等符合保护性耕作技术要求处理的</w:t>
      </w:r>
      <w:r>
        <w:rPr>
          <w:rFonts w:hint="eastAsia" w:ascii="仿宋_GB2312" w:eastAsia="仿宋_GB2312"/>
          <w:snapToGrid w:val="0"/>
          <w:kern w:val="0"/>
          <w:sz w:val="32"/>
          <w:szCs w:val="32"/>
        </w:rPr>
        <w:t>，可在相应作业机具上安装保护性耕作信息化监测系统采集秸秆覆盖率和作业面积，与免（少）耕播种作业时所采集的秸秆覆盖率和作业面积进行综合判定。实施主体作业结束后的一个月内，应主动向街道办事处提出验收申请，并提交有关验收申请材料，内容包括：实施主体在自有耕地或流转耕地实施作业的，应具有自有耕地或流转耕地的有效凭证；实施代耕代种作业的，代耕代种对象应对实施主体实施的作业面积、作业质量等情况以有效方式进行验收并签字确认等。验收申请材料不齐全、不完整、不规范、不按时的，街道可不予组织核实验收。</w:t>
      </w:r>
    </w:p>
    <w:p w14:paraId="63A4243F">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仿宋_GB2312" w:eastAsia="仿宋_GB2312"/>
          <w:snapToGrid w:val="0"/>
          <w:kern w:val="0"/>
          <w:sz w:val="32"/>
          <w:szCs w:val="32"/>
        </w:rPr>
      </w:pPr>
      <w:r>
        <w:rPr>
          <w:rFonts w:hint="eastAsia" w:ascii="仿宋_GB2312" w:eastAsia="仿宋_GB2312"/>
          <w:b/>
          <w:snapToGrid w:val="0"/>
          <w:kern w:val="0"/>
          <w:sz w:val="32"/>
          <w:szCs w:val="32"/>
        </w:rPr>
        <w:t>2.确保监管质量。</w:t>
      </w:r>
      <w:r>
        <w:rPr>
          <w:rFonts w:hint="eastAsia" w:ascii="仿宋_GB2312" w:eastAsia="仿宋_GB2312"/>
          <w:bCs/>
          <w:snapToGrid w:val="0"/>
          <w:kern w:val="0"/>
          <w:sz w:val="32"/>
          <w:szCs w:val="32"/>
        </w:rPr>
        <w:t>各街道要实现信息化远程监测全覆盖，保护性耕作作业机具必须安装作业监测设备，将其作为作业补助和县、乡级高标准应用基地的</w:t>
      </w:r>
      <w:r>
        <w:rPr>
          <w:rFonts w:hint="eastAsia" w:ascii="仿宋_GB2312" w:eastAsia="仿宋_GB2312"/>
          <w:bCs/>
          <w:snapToGrid w:val="0"/>
          <w:kern w:val="0"/>
          <w:sz w:val="32"/>
          <w:szCs w:val="32"/>
          <w:lang w:eastAsia="zh-CN"/>
        </w:rPr>
        <w:t>秸秆</w:t>
      </w:r>
      <w:r>
        <w:rPr>
          <w:rFonts w:hint="eastAsia" w:ascii="仿宋_GB2312" w:eastAsia="仿宋_GB2312"/>
          <w:bCs/>
          <w:snapToGrid w:val="0"/>
          <w:kern w:val="0"/>
          <w:sz w:val="32"/>
          <w:szCs w:val="32"/>
        </w:rPr>
        <w:t>覆盖率、实施面积等方面核实验收判定的主要依据，同时通过委托</w:t>
      </w:r>
      <w:r>
        <w:rPr>
          <w:rFonts w:hint="eastAsia" w:ascii="仿宋_GB2312" w:hAnsi="仿宋" w:eastAsia="仿宋_GB2312"/>
          <w:snapToGrid w:val="0"/>
          <w:spacing w:val="-6"/>
          <w:kern w:val="0"/>
          <w:sz w:val="32"/>
          <w:szCs w:val="32"/>
        </w:rPr>
        <w:t>第三方核查等方式开展验收复核和监督检查，</w:t>
      </w:r>
      <w:r>
        <w:rPr>
          <w:rFonts w:hint="eastAsia" w:ascii="仿宋_GB2312" w:eastAsia="仿宋_GB2312"/>
          <w:bCs/>
          <w:snapToGrid w:val="0"/>
          <w:kern w:val="0"/>
          <w:sz w:val="32"/>
          <w:szCs w:val="32"/>
        </w:rPr>
        <w:t>进一步提升信息化作业监测设备判定标准的一致性和核验工作的高效性。</w:t>
      </w:r>
      <w:r>
        <w:rPr>
          <w:rFonts w:hint="eastAsia" w:ascii="仿宋_GB2312" w:eastAsia="仿宋_GB2312"/>
          <w:snapToGrid w:val="0"/>
          <w:kern w:val="0"/>
          <w:sz w:val="32"/>
          <w:szCs w:val="32"/>
        </w:rPr>
        <w:t>对于监测设备出现故障的、数据丢失的、监测实施面积与实际实施面积不符的等情况，实施主体要及时与设备生产企业沟通，并向区农业农村局报告，如情况属实可由人工或第三方进行核验。各街道要健全信息化远程监测相关管理制度，完善管理程序和内容，确保应用效果安全可靠、真实有效；各</w:t>
      </w:r>
      <w:r>
        <w:rPr>
          <w:rFonts w:hint="eastAsia" w:ascii="仿宋_GB2312" w:eastAsia="仿宋_GB2312"/>
          <w:bCs/>
          <w:snapToGrid w:val="0"/>
          <w:kern w:val="0"/>
          <w:sz w:val="32"/>
          <w:szCs w:val="32"/>
        </w:rPr>
        <w:t>街道</w:t>
      </w:r>
      <w:r>
        <w:rPr>
          <w:rFonts w:hint="eastAsia" w:ascii="仿宋_GB2312" w:eastAsia="仿宋_GB2312"/>
          <w:snapToGrid w:val="0"/>
          <w:kern w:val="0"/>
          <w:sz w:val="32"/>
          <w:szCs w:val="32"/>
        </w:rPr>
        <w:t>要建立专门的补助工作实施档案，相关文件资料、信息化平台数据等要完整齐全，留存备查；各街道要做好高标准应用基地技术支撑服务费相关支出的合同、影像资料、监测和研究成果等档案、资料管理，确保有据可查。市里将加快谋划建设市级统一作业监测平台，优化监测设备企业结构，统一作业效果判定算法，推进“一把尺子量到底”。</w:t>
      </w:r>
    </w:p>
    <w:p w14:paraId="0E9835AF">
      <w:pPr>
        <w:keepNext w:val="0"/>
        <w:keepLines w:val="0"/>
        <w:pageBreakBefore w:val="0"/>
        <w:widowControl w:val="0"/>
        <w:tabs>
          <w:tab w:val="left" w:pos="3420"/>
        </w:tabs>
        <w:kinsoku/>
        <w:wordWrap/>
        <w:overflowPunct/>
        <w:topLinePunct w:val="0"/>
        <w:autoSpaceDE/>
        <w:autoSpaceDN/>
        <w:bidi w:val="0"/>
        <w:adjustRightInd w:val="0"/>
        <w:snapToGrid w:val="0"/>
        <w:spacing w:line="579" w:lineRule="exact"/>
        <w:ind w:firstLine="720"/>
        <w:jc w:val="left"/>
        <w:textAlignment w:val="auto"/>
        <w:rPr>
          <w:rFonts w:ascii="楷体_GB2312" w:eastAsia="楷体_GB2312"/>
          <w:b/>
          <w:snapToGrid w:val="0"/>
          <w:kern w:val="0"/>
          <w:sz w:val="32"/>
          <w:szCs w:val="32"/>
        </w:rPr>
      </w:pPr>
      <w:r>
        <w:rPr>
          <w:rFonts w:hint="eastAsia" w:ascii="楷体_GB2312" w:eastAsia="楷体_GB2312"/>
          <w:b/>
          <w:snapToGrid w:val="0"/>
          <w:kern w:val="0"/>
          <w:sz w:val="32"/>
          <w:szCs w:val="32"/>
        </w:rPr>
        <w:t>（三）资金兑付</w:t>
      </w:r>
    </w:p>
    <w:p w14:paraId="42CCC4CC">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 w:hAnsi="仿宋" w:eastAsia="仿宋"/>
          <w:snapToGrid w:val="0"/>
          <w:kern w:val="0"/>
          <w:sz w:val="32"/>
          <w:szCs w:val="32"/>
        </w:rPr>
      </w:pPr>
      <w:r>
        <w:rPr>
          <w:rFonts w:hint="eastAsia" w:ascii="仿宋_GB2312" w:eastAsia="仿宋_GB2312"/>
          <w:snapToGrid w:val="0"/>
          <w:kern w:val="0"/>
          <w:sz w:val="32"/>
          <w:szCs w:val="32"/>
        </w:rPr>
        <w:t>补助资金实行“先作业后补助，先公示后兑现”，经街道办事处验收合格后，要通过互联网、公示栏等渠道，对实施主体享受补助的，全面公开补助对象名称、作业面积、补助标准所属档次、作业地点、补助资金、作业面积判定方式等信息，对高标准应用基地建设进行补助的要全面公开资金用途、补助标准等信息，广泛接受社会监督。经公示无异议后，</w:t>
      </w:r>
      <w:r>
        <w:rPr>
          <w:rFonts w:hint="eastAsia" w:ascii="仿宋_GB2312" w:hAnsi="仿宋" w:eastAsia="仿宋_GB2312"/>
          <w:snapToGrid w:val="0"/>
          <w:kern w:val="0"/>
          <w:sz w:val="32"/>
          <w:szCs w:val="32"/>
        </w:rPr>
        <w:t>各街道办事处要及时履行相关手续提出资金兑付申请，区财政局按程序及时足额兑付补助资金。</w:t>
      </w:r>
    </w:p>
    <w:p w14:paraId="4ED8F298">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黑体" w:hAnsi="黑体" w:eastAsia="黑体"/>
          <w:snapToGrid w:val="0"/>
          <w:kern w:val="0"/>
          <w:sz w:val="32"/>
          <w:szCs w:val="32"/>
        </w:rPr>
      </w:pPr>
      <w:r>
        <w:rPr>
          <w:rFonts w:hint="eastAsia" w:ascii="黑体" w:hAnsi="黑体" w:eastAsia="黑体"/>
          <w:snapToGrid w:val="0"/>
          <w:kern w:val="0"/>
          <w:sz w:val="32"/>
          <w:szCs w:val="32"/>
        </w:rPr>
        <w:t>六、实施进度</w:t>
      </w:r>
    </w:p>
    <w:p w14:paraId="717C9781">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（一）2024年12月31日前，各</w:t>
      </w:r>
      <w:r>
        <w:rPr>
          <w:rFonts w:hint="eastAsia" w:ascii="仿宋_GB2312" w:eastAsia="仿宋_GB2312"/>
          <w:bCs/>
          <w:snapToGrid w:val="0"/>
          <w:kern w:val="0"/>
          <w:sz w:val="32"/>
          <w:szCs w:val="32"/>
        </w:rPr>
        <w:t>街道</w:t>
      </w:r>
      <w:r>
        <w:rPr>
          <w:rFonts w:hint="eastAsia" w:ascii="仿宋_GB2312" w:eastAsia="仿宋_GB2312"/>
          <w:snapToGrid w:val="0"/>
          <w:kern w:val="0"/>
          <w:sz w:val="32"/>
          <w:szCs w:val="32"/>
        </w:rPr>
        <w:t>组织落实保护性耕作实施区域、面积、地块和高标准应用基地，确认实施主体，组织开展秸秆覆盖还田作业、技术培训及宣传发动等工作。</w:t>
      </w:r>
    </w:p>
    <w:p w14:paraId="46DCF5E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（二）2025年4月20日前，区农业农村、财政部门制定年度实施方案，确定高标准应用基地。各街道要逐级建立</w:t>
      </w:r>
      <w:bookmarkStart w:id="0" w:name="_GoBack"/>
      <w:bookmarkEnd w:id="0"/>
      <w:r>
        <w:rPr>
          <w:rFonts w:hint="eastAsia" w:ascii="仿宋_GB2312" w:eastAsia="仿宋_GB2312"/>
          <w:snapToGrid w:val="0"/>
          <w:kern w:val="0"/>
          <w:sz w:val="32"/>
          <w:szCs w:val="32"/>
          <w:lang w:eastAsia="zh-CN"/>
        </w:rPr>
        <w:t>台账</w:t>
      </w:r>
      <w:r>
        <w:rPr>
          <w:rFonts w:hint="eastAsia" w:ascii="仿宋_GB2312" w:eastAsia="仿宋_GB2312"/>
          <w:snapToGrid w:val="0"/>
          <w:kern w:val="0"/>
          <w:sz w:val="32"/>
          <w:szCs w:val="32"/>
        </w:rPr>
        <w:t>，完成作业合同和高标准应用基地合同签订，组织开展保护性耕作作业机具配备、检修调试、远程监测终端设备安装调试等工作。</w:t>
      </w:r>
    </w:p>
    <w:p w14:paraId="0E4FBAF0">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snapToGrid w:val="0"/>
          <w:kern w:val="0"/>
          <w:sz w:val="32"/>
          <w:szCs w:val="32"/>
        </w:rPr>
      </w:pPr>
      <w:r>
        <w:rPr>
          <w:rFonts w:hint="eastAsia" w:ascii="仿宋_GB2312" w:eastAsia="仿宋_GB2312"/>
          <w:snapToGrid w:val="0"/>
          <w:kern w:val="0"/>
          <w:sz w:val="32"/>
          <w:szCs w:val="32"/>
        </w:rPr>
        <w:t>（三）2025年8月30日前，各</w:t>
      </w:r>
      <w:r>
        <w:rPr>
          <w:rFonts w:hint="eastAsia" w:ascii="仿宋_GB2312" w:eastAsia="仿宋_GB2312"/>
          <w:bCs/>
          <w:snapToGrid w:val="0"/>
          <w:kern w:val="0"/>
          <w:sz w:val="32"/>
          <w:szCs w:val="32"/>
        </w:rPr>
        <w:t>街道</w:t>
      </w:r>
      <w:r>
        <w:rPr>
          <w:rFonts w:hint="eastAsia" w:ascii="仿宋_GB2312" w:eastAsia="仿宋_GB2312"/>
          <w:snapToGrid w:val="0"/>
          <w:kern w:val="0"/>
          <w:sz w:val="32"/>
          <w:szCs w:val="32"/>
        </w:rPr>
        <w:t>组织开展春季免（少）耕播种作业，完成作业补助项目验收、高标准应用基地项目建设和验收工作，区农业农村部门和财政部门联合报送项目任务完成情况和资金执行情况。</w:t>
      </w:r>
    </w:p>
    <w:p w14:paraId="09E08724">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bCs/>
          <w:snapToGrid w:val="0"/>
          <w:kern w:val="0"/>
          <w:sz w:val="32"/>
          <w:szCs w:val="32"/>
        </w:rPr>
      </w:pPr>
      <w:r>
        <w:rPr>
          <w:rFonts w:hint="eastAsia" w:ascii="仿宋_GB2312" w:eastAsia="仿宋_GB2312"/>
          <w:snapToGrid w:val="0"/>
          <w:kern w:val="0"/>
          <w:sz w:val="32"/>
          <w:szCs w:val="32"/>
        </w:rPr>
        <w:t>（四）2025年9月30日前，</w:t>
      </w:r>
      <w:r>
        <w:rPr>
          <w:rFonts w:hint="eastAsia" w:ascii="仿宋_GB2312" w:eastAsia="仿宋_GB2312"/>
          <w:bCs/>
          <w:snapToGrid w:val="0"/>
          <w:kern w:val="0"/>
          <w:sz w:val="32"/>
          <w:szCs w:val="32"/>
        </w:rPr>
        <w:t>区</w:t>
      </w:r>
      <w:r>
        <w:rPr>
          <w:rFonts w:hint="eastAsia" w:ascii="仿宋_GB2312" w:eastAsia="仿宋_GB2312"/>
          <w:snapToGrid w:val="0"/>
          <w:kern w:val="0"/>
          <w:sz w:val="32"/>
          <w:szCs w:val="32"/>
        </w:rPr>
        <w:t>财政部门完成作业补助和高标准应用基地建设项目资金兑付工作。</w:t>
      </w:r>
    </w:p>
    <w:p w14:paraId="704E518A">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黑体" w:hAnsi="黑体" w:eastAsia="黑体"/>
          <w:bCs/>
          <w:snapToGrid w:val="0"/>
          <w:kern w:val="0"/>
          <w:sz w:val="32"/>
          <w:szCs w:val="32"/>
        </w:rPr>
      </w:pPr>
      <w:r>
        <w:rPr>
          <w:rFonts w:hint="eastAsia" w:ascii="黑体" w:hAnsi="黑体" w:eastAsia="黑体"/>
          <w:bCs/>
          <w:snapToGrid w:val="0"/>
          <w:kern w:val="0"/>
          <w:sz w:val="32"/>
          <w:szCs w:val="32"/>
        </w:rPr>
        <w:t>七、工作要求</w:t>
      </w:r>
    </w:p>
    <w:p w14:paraId="7C9DF37C">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仿宋_GB2312" w:eastAsia="仿宋_GB2312"/>
          <w:snapToGrid w:val="0"/>
          <w:kern w:val="0"/>
          <w:sz w:val="32"/>
          <w:szCs w:val="32"/>
        </w:rPr>
      </w:pPr>
      <w:r>
        <w:rPr>
          <w:rFonts w:hint="eastAsia" w:ascii="楷体_GB2312" w:eastAsia="楷体_GB2312"/>
          <w:b/>
          <w:snapToGrid w:val="0"/>
          <w:kern w:val="0"/>
          <w:sz w:val="32"/>
          <w:szCs w:val="32"/>
        </w:rPr>
        <w:t>（一）加强组织领导。</w:t>
      </w:r>
      <w:r>
        <w:rPr>
          <w:rFonts w:hint="eastAsia" w:ascii="仿宋_GB2312" w:hAnsi="仿宋" w:eastAsia="仿宋_GB2312"/>
          <w:snapToGrid w:val="0"/>
          <w:kern w:val="0"/>
          <w:sz w:val="32"/>
          <w:szCs w:val="32"/>
        </w:rPr>
        <w:t>成立浑南区黑土地保护性耕作项目推进行动领导小组，建立政府主导、上下联动、各相关部门齐抓共管的工作机制。</w:t>
      </w:r>
      <w:r>
        <w:rPr>
          <w:rFonts w:hint="eastAsia" w:ascii="仿宋_GB2312" w:eastAsia="仿宋_GB2312"/>
          <w:snapToGrid w:val="0"/>
          <w:kern w:val="0"/>
          <w:sz w:val="32"/>
          <w:szCs w:val="32"/>
        </w:rPr>
        <w:t>组长由区政府分管领导担任，副组长分别由区农业农村局、区财政局分管领导担任</w:t>
      </w:r>
      <w:r>
        <w:rPr>
          <w:rFonts w:hint="eastAsia" w:ascii="仿宋_GB2312" w:hAnsi="仿宋" w:eastAsia="仿宋_GB2312"/>
          <w:snapToGrid w:val="0"/>
          <w:kern w:val="0"/>
          <w:sz w:val="32"/>
          <w:szCs w:val="32"/>
        </w:rPr>
        <w:t>，区农业农村局、区财政局以及8个涉农街道办事处为成员。</w:t>
      </w:r>
      <w:r>
        <w:rPr>
          <w:rFonts w:hint="eastAsia" w:ascii="仿宋_GB2312" w:eastAsia="仿宋_GB2312"/>
          <w:snapToGrid w:val="0"/>
          <w:kern w:val="0"/>
          <w:sz w:val="32"/>
          <w:szCs w:val="32"/>
        </w:rPr>
        <w:t>领导小组下设办公室，负责日常工作，设在区农业农村局农机农源中队。</w:t>
      </w:r>
      <w:r>
        <w:rPr>
          <w:rFonts w:hint="eastAsia" w:ascii="仿宋_GB2312" w:hAnsi="仿宋" w:eastAsia="仿宋_GB2312"/>
          <w:b/>
          <w:snapToGrid w:val="0"/>
          <w:kern w:val="0"/>
          <w:sz w:val="32"/>
          <w:szCs w:val="32"/>
        </w:rPr>
        <w:t>区农业农村局、区财政局</w:t>
      </w:r>
      <w:r>
        <w:rPr>
          <w:rFonts w:hint="eastAsia" w:ascii="仿宋_GB2312" w:hAnsi="仿宋" w:eastAsia="仿宋_GB2312"/>
          <w:snapToGrid w:val="0"/>
          <w:kern w:val="0"/>
          <w:sz w:val="32"/>
          <w:szCs w:val="32"/>
        </w:rPr>
        <w:t>结合实际制定浑南区2025年保护性耕作实施方案，明确实施区域、主推技术模式、实施面积、高标准应用基地建设安排、补助标准、实施进度和保障措施等。</w:t>
      </w:r>
      <w:r>
        <w:rPr>
          <w:rFonts w:hint="eastAsia" w:ascii="仿宋_GB2312" w:hAnsi="仿宋" w:eastAsia="仿宋_GB2312"/>
          <w:b/>
          <w:snapToGrid w:val="0"/>
          <w:kern w:val="0"/>
          <w:sz w:val="32"/>
          <w:szCs w:val="32"/>
        </w:rPr>
        <w:t>各街道办事处</w:t>
      </w:r>
      <w:r>
        <w:rPr>
          <w:rFonts w:hint="eastAsia" w:ascii="仿宋_GB2312" w:eastAsia="仿宋_GB2312"/>
          <w:snapToGrid w:val="0"/>
          <w:kern w:val="0"/>
          <w:sz w:val="32"/>
          <w:szCs w:val="32"/>
        </w:rPr>
        <w:t>是保护性耕作（包括作业补助和高标准应用基地建设）实施责任主体，对本地保护性耕作工作负总责，全面落实工作任务，组织实施作业，做好技术指导、面积和质量核查、补助标准核定、资金兑付等工作，确保国家政策不折不扣落实到位。</w:t>
      </w:r>
      <w:r>
        <w:rPr>
          <w:rFonts w:hint="eastAsia" w:ascii="仿宋_GB2312" w:hAnsi="仿宋" w:eastAsia="仿宋_GB2312"/>
          <w:snapToGrid w:val="0"/>
          <w:kern w:val="0"/>
          <w:sz w:val="32"/>
          <w:szCs w:val="32"/>
        </w:rPr>
        <w:t>各街道要动员乡村干部力量，务实解决秸秆留地难等保护性耕作提质扩面实施中遇到的重大问题，切实平衡好秸秆留地覆盖保土需要和秸秆饲用等需求矛盾。</w:t>
      </w:r>
    </w:p>
    <w:p w14:paraId="1B7180DF">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仿宋_GB2312" w:eastAsia="仿宋_GB2312"/>
          <w:snapToGrid w:val="0"/>
          <w:kern w:val="0"/>
          <w:sz w:val="32"/>
          <w:szCs w:val="32"/>
        </w:rPr>
      </w:pPr>
      <w:r>
        <w:rPr>
          <w:rFonts w:hint="eastAsia" w:ascii="楷体_GB2312" w:eastAsia="楷体_GB2312"/>
          <w:b/>
          <w:snapToGrid w:val="0"/>
          <w:kern w:val="0"/>
          <w:sz w:val="32"/>
          <w:szCs w:val="32"/>
        </w:rPr>
        <w:t>（二）加强政策协同。</w:t>
      </w:r>
      <w:r>
        <w:rPr>
          <w:rFonts w:hint="eastAsia" w:ascii="仿宋_GB2312" w:eastAsia="仿宋_GB2312"/>
          <w:snapToGrid w:val="0"/>
          <w:kern w:val="0"/>
          <w:sz w:val="32"/>
          <w:szCs w:val="32"/>
        </w:rPr>
        <w:t>加强与黑土地保护工程、秸秆综合利用等有关政策的衔接配合，与农机深松整地、农业社会化服务等项目接续实施，推动政策同向用力、整体联动，厘清不同政策实施边界和范围，适宜区域要严格按照行动计划明确的保护性耕作定义开展技术推广应用。推动保护性耕作任务面积、补助资金、基地建设安排向保护性耕作</w:t>
      </w:r>
      <w:r>
        <w:rPr>
          <w:rFonts w:hint="eastAsia" w:ascii="仿宋_GB2312" w:eastAsia="仿宋_GB2312"/>
          <w:snapToGrid w:val="0"/>
          <w:color w:val="000000"/>
          <w:kern w:val="0"/>
          <w:sz w:val="32"/>
          <w:szCs w:val="32"/>
        </w:rPr>
        <w:t>整体推进街道、村</w:t>
      </w:r>
      <w:r>
        <w:rPr>
          <w:rFonts w:hint="eastAsia" w:ascii="仿宋_GB2312" w:eastAsia="仿宋_GB2312"/>
          <w:snapToGrid w:val="0"/>
          <w:kern w:val="0"/>
          <w:sz w:val="32"/>
          <w:szCs w:val="32"/>
        </w:rPr>
        <w:t>倾斜，优先足额保障保护性耕作</w:t>
      </w:r>
      <w:r>
        <w:rPr>
          <w:rFonts w:hint="eastAsia" w:ascii="仿宋_GB2312" w:eastAsia="仿宋_GB2312"/>
          <w:snapToGrid w:val="0"/>
          <w:color w:val="000000"/>
          <w:kern w:val="0"/>
          <w:sz w:val="32"/>
          <w:szCs w:val="32"/>
        </w:rPr>
        <w:t>整体推进街道、村</w:t>
      </w:r>
      <w:r>
        <w:rPr>
          <w:rFonts w:hint="eastAsia" w:ascii="仿宋_GB2312" w:eastAsia="仿宋_GB2312"/>
          <w:snapToGrid w:val="0"/>
          <w:kern w:val="0"/>
          <w:sz w:val="32"/>
          <w:szCs w:val="32"/>
        </w:rPr>
        <w:t>需求基础上，将更多适宜保护性耕作区域纳入行动计划实施范围。</w:t>
      </w:r>
      <w:r>
        <w:rPr>
          <w:rFonts w:hint="eastAsia" w:ascii="仿宋_GB2312" w:eastAsia="仿宋_GB2312"/>
          <w:snapToGrid w:val="0"/>
          <w:color w:val="000000"/>
          <w:kern w:val="0"/>
          <w:sz w:val="32"/>
          <w:szCs w:val="32"/>
        </w:rPr>
        <w:t>充分发挥农机购置补贴政策导向作用，落实高性能免耕播种机补贴标准，实行</w:t>
      </w:r>
      <w:r>
        <w:rPr>
          <w:rFonts w:hint="eastAsia" w:ascii="仿宋_GB2312" w:eastAsia="仿宋_GB2312"/>
          <w:snapToGrid w:val="0"/>
          <w:kern w:val="0"/>
          <w:sz w:val="32"/>
          <w:szCs w:val="32"/>
        </w:rPr>
        <w:t>优机优补，为保护性耕作推广应用提供装备保障。</w:t>
      </w:r>
    </w:p>
    <w:p w14:paraId="2B3022C1">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仿宋_GB2312" w:eastAsia="仿宋_GB2312"/>
          <w:snapToGrid w:val="0"/>
          <w:kern w:val="0"/>
          <w:sz w:val="32"/>
          <w:szCs w:val="32"/>
        </w:rPr>
      </w:pPr>
      <w:r>
        <w:rPr>
          <w:rFonts w:hint="eastAsia" w:ascii="楷体_GB2312" w:eastAsia="楷体_GB2312"/>
          <w:b/>
          <w:snapToGrid w:val="0"/>
          <w:kern w:val="0"/>
          <w:sz w:val="32"/>
          <w:szCs w:val="32"/>
        </w:rPr>
        <w:t>（三）加强技术服务。</w:t>
      </w:r>
      <w:r>
        <w:rPr>
          <w:rFonts w:hint="eastAsia" w:ascii="仿宋_GB2312" w:hAnsi="仿宋" w:eastAsia="仿宋_GB2312"/>
          <w:snapToGrid w:val="0"/>
          <w:kern w:val="0"/>
          <w:sz w:val="32"/>
          <w:szCs w:val="32"/>
        </w:rPr>
        <w:t>区、街道要充分依托技术支撑单位和省、市保护性耕作专家指导组，结合实际完善各项保护性耕作措施，</w:t>
      </w:r>
      <w:r>
        <w:rPr>
          <w:rFonts w:hint="eastAsia" w:ascii="仿宋_GB2312" w:eastAsia="仿宋_GB2312"/>
          <w:snapToGrid w:val="0"/>
          <w:kern w:val="0"/>
          <w:sz w:val="32"/>
          <w:szCs w:val="32"/>
        </w:rPr>
        <w:t>加强调查研究，根据技术装备进步和各地实际应用情况，及时修订年度技术指引或技术模式，加强农机农艺融合，合理衔接前后作业环节技术应用。</w:t>
      </w:r>
      <w:r>
        <w:rPr>
          <w:rFonts w:hint="eastAsia" w:ascii="仿宋_GB2312" w:hAnsi="仿宋" w:eastAsia="仿宋_GB2312"/>
          <w:snapToGrid w:val="0"/>
          <w:kern w:val="0"/>
          <w:sz w:val="32"/>
          <w:szCs w:val="32"/>
        </w:rPr>
        <w:t>各技术支撑单位要各负其责，在分担区域内做好各项技术支撑，加强</w:t>
      </w:r>
      <w:r>
        <w:rPr>
          <w:rFonts w:hint="eastAsia" w:ascii="仿宋_GB2312" w:eastAsia="仿宋_GB2312"/>
          <w:snapToGrid w:val="0"/>
          <w:kern w:val="0"/>
          <w:sz w:val="32"/>
          <w:szCs w:val="32"/>
        </w:rPr>
        <w:t>技术指导，组织举办</w:t>
      </w:r>
      <w:r>
        <w:rPr>
          <w:rFonts w:hint="eastAsia" w:ascii="仿宋_GB2312" w:hAnsi="仿宋" w:eastAsia="仿宋_GB2312"/>
          <w:snapToGrid w:val="0"/>
          <w:kern w:val="0"/>
          <w:sz w:val="32"/>
          <w:szCs w:val="32"/>
        </w:rPr>
        <w:t>各级各类技术培训、</w:t>
      </w:r>
      <w:r>
        <w:rPr>
          <w:rFonts w:hint="eastAsia" w:ascii="仿宋_GB2312" w:eastAsia="仿宋_GB2312"/>
          <w:snapToGrid w:val="0"/>
          <w:kern w:val="0"/>
          <w:sz w:val="32"/>
          <w:szCs w:val="32"/>
        </w:rPr>
        <w:t>现场观摩、技术巡回指导服务等活动，保障技术模式落地见效，提高作业质量，确保播种质量和出苗率。鼓励同一地块技术应用连续实施，提升实施质量和实施效果。要不断壮大农机作业服务主体，鼓励服务组织跨区开展作业，提高机具装备使用效率，扩大技术应用面积。</w:t>
      </w:r>
    </w:p>
    <w:p w14:paraId="6BDBC2D4">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仿宋_GB2312" w:eastAsia="仿宋_GB2312"/>
          <w:bCs/>
          <w:snapToGrid w:val="0"/>
          <w:kern w:val="0"/>
          <w:sz w:val="32"/>
          <w:szCs w:val="32"/>
        </w:rPr>
      </w:pPr>
      <w:r>
        <w:rPr>
          <w:rFonts w:hint="eastAsia" w:ascii="楷体_GB2312" w:eastAsia="楷体_GB2312"/>
          <w:b/>
          <w:snapToGrid w:val="0"/>
          <w:kern w:val="0"/>
          <w:sz w:val="32"/>
          <w:szCs w:val="32"/>
        </w:rPr>
        <w:t>（四）加强监督管理。</w:t>
      </w:r>
      <w:r>
        <w:rPr>
          <w:rFonts w:hint="eastAsia" w:ascii="仿宋_GB2312" w:eastAsia="仿宋_GB2312"/>
          <w:snapToGrid w:val="0"/>
          <w:kern w:val="0"/>
          <w:sz w:val="32"/>
          <w:szCs w:val="32"/>
        </w:rPr>
        <w:t>各街道要建立健全相关规章制度，落实工作责任制，加强各环节风险防控，严格实施过程管理，</w:t>
      </w:r>
      <w:r>
        <w:rPr>
          <w:rFonts w:hint="eastAsia" w:ascii="仿宋_GB2312" w:eastAsia="仿宋_GB2312"/>
          <w:bCs/>
          <w:snapToGrid w:val="0"/>
          <w:kern w:val="0"/>
          <w:sz w:val="32"/>
          <w:szCs w:val="32"/>
        </w:rPr>
        <w:t>坚决防止虚报补助作业面积、降低作业标准、套取补助资金等问题发生，</w:t>
      </w:r>
      <w:r>
        <w:rPr>
          <w:rFonts w:hint="eastAsia" w:ascii="仿宋_GB2312" w:eastAsia="仿宋_GB2312"/>
          <w:snapToGrid w:val="0"/>
          <w:kern w:val="0"/>
          <w:sz w:val="32"/>
          <w:szCs w:val="32"/>
        </w:rPr>
        <w:t>适时开展绩效评</w:t>
      </w:r>
      <w:r>
        <w:rPr>
          <w:rFonts w:hint="eastAsia" w:ascii="仿宋_GB2312" w:eastAsia="仿宋_GB2312"/>
          <w:bCs/>
          <w:snapToGrid w:val="0"/>
          <w:kern w:val="0"/>
          <w:sz w:val="32"/>
          <w:szCs w:val="32"/>
        </w:rPr>
        <w:t>价。要切实加强对补助资金使用与监督管理，规范补助资金使用方向，确保专款专用，补助资金要及时足额拨付，杜绝任何形式的挤占、挪用等违规违纪行为。对于虚报冒领、挤占挪用补助资金的单位和个人，将按照国家有关规定追究责任。</w:t>
      </w:r>
    </w:p>
    <w:p w14:paraId="0C74B39C">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ascii="仿宋_GB2312" w:eastAsia="仿宋_GB2312"/>
          <w:snapToGrid w:val="0"/>
          <w:kern w:val="0"/>
          <w:sz w:val="32"/>
          <w:szCs w:val="32"/>
        </w:rPr>
      </w:pPr>
      <w:r>
        <w:rPr>
          <w:rFonts w:hint="eastAsia" w:ascii="楷体_GB2312" w:eastAsia="楷体_GB2312"/>
          <w:b/>
          <w:snapToGrid w:val="0"/>
          <w:kern w:val="0"/>
          <w:sz w:val="32"/>
          <w:szCs w:val="32"/>
        </w:rPr>
        <w:t>（五）加强宣传引导。</w:t>
      </w:r>
      <w:r>
        <w:rPr>
          <w:rFonts w:hint="eastAsia" w:ascii="仿宋_GB2312" w:hAnsi="仿宋" w:eastAsia="仿宋_GB2312"/>
          <w:snapToGrid w:val="0"/>
          <w:kern w:val="0"/>
          <w:sz w:val="32"/>
          <w:szCs w:val="32"/>
        </w:rPr>
        <w:t>要充分运用广播、新媒体、现场讲座等线上线下手段，多渠道制作传播保护性耕作短视频、</w:t>
      </w:r>
      <w:r>
        <w:rPr>
          <w:rFonts w:hint="eastAsia" w:ascii="仿宋_GB2312" w:eastAsia="仿宋_GB2312"/>
          <w:snapToGrid w:val="0"/>
          <w:kern w:val="0"/>
          <w:sz w:val="32"/>
          <w:szCs w:val="32"/>
        </w:rPr>
        <w:t>明白纸、手册，</w:t>
      </w:r>
      <w:r>
        <w:rPr>
          <w:rFonts w:hint="eastAsia" w:ascii="仿宋_GB2312" w:hAnsi="仿宋" w:eastAsia="仿宋_GB2312"/>
          <w:snapToGrid w:val="0"/>
          <w:kern w:val="0"/>
          <w:sz w:val="32"/>
          <w:szCs w:val="32"/>
        </w:rPr>
        <w:t>持续深入开展科普宣传和政策宣讲，做到实施区域全覆盖，凝聚社会共识。要注重总结宣传行动计划实施中基层的好经验好做法，加强标杆引领，特别是要推出一批为保护性耕作推广做出重要贡献的一线业务骨干以及规范应用保护性耕作成效突出、带动效果明显的基层实施主体，通过典型推介、先锋人物风采展示等多种形式，扩大宣传效果，营造比学赶超推广保护性耕作的良好氛围。</w:t>
      </w:r>
    </w:p>
    <w:p w14:paraId="1CD3E229">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bCs/>
          <w:snapToGrid w:val="0"/>
          <w:kern w:val="0"/>
          <w:sz w:val="32"/>
          <w:szCs w:val="32"/>
        </w:rPr>
      </w:pPr>
      <w:r>
        <w:rPr>
          <w:rFonts w:hint="eastAsia" w:ascii="仿宋_GB2312" w:eastAsia="仿宋_GB2312"/>
          <w:snapToGrid w:val="0"/>
          <w:kern w:val="0"/>
          <w:sz w:val="32"/>
          <w:szCs w:val="32"/>
        </w:rPr>
        <w:t>各街道</w:t>
      </w:r>
      <w:r>
        <w:rPr>
          <w:rFonts w:hint="eastAsia" w:ascii="仿宋_GB2312" w:eastAsia="仿宋_GB2312"/>
          <w:bCs/>
          <w:snapToGrid w:val="0"/>
          <w:kern w:val="0"/>
          <w:sz w:val="32"/>
          <w:szCs w:val="32"/>
        </w:rPr>
        <w:t>于2025年8月30日前报送保护性耕作项目实施情况和下年度安排计划，于11月10日前报送保护性耕作推进行动年度工作总结和补助资金兑付情况及绩效自评报告。</w:t>
      </w:r>
    </w:p>
    <w:p w14:paraId="44240711">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 w:hAnsi="仿宋" w:eastAsia="仿宋"/>
          <w:bCs/>
          <w:snapToGrid w:val="0"/>
          <w:kern w:val="0"/>
          <w:sz w:val="32"/>
          <w:szCs w:val="32"/>
        </w:rPr>
      </w:pPr>
    </w:p>
    <w:p w14:paraId="5B9045BA">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bCs/>
          <w:snapToGrid w:val="0"/>
          <w:kern w:val="0"/>
          <w:sz w:val="32"/>
          <w:szCs w:val="32"/>
        </w:rPr>
      </w:pPr>
      <w:r>
        <w:rPr>
          <w:rFonts w:ascii="仿宋_GB2312" w:eastAsia="仿宋_GB2312"/>
          <w:bCs/>
          <w:snapToGrid w:val="0"/>
          <w:kern w:val="0"/>
          <w:sz w:val="32"/>
          <w:szCs w:val="32"/>
        </w:rPr>
        <w:t>附件：</w:t>
      </w:r>
    </w:p>
    <w:p w14:paraId="0E6DFCD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bCs/>
          <w:snapToGrid w:val="0"/>
          <w:kern w:val="0"/>
          <w:sz w:val="32"/>
          <w:szCs w:val="32"/>
        </w:rPr>
      </w:pPr>
      <w:r>
        <w:rPr>
          <w:rFonts w:ascii="仿宋_GB2312" w:eastAsia="仿宋_GB2312"/>
          <w:bCs/>
          <w:snapToGrid w:val="0"/>
          <w:kern w:val="0"/>
          <w:sz w:val="32"/>
          <w:szCs w:val="32"/>
        </w:rPr>
        <w:t>1.</w:t>
      </w:r>
      <w:r>
        <w:rPr>
          <w:rFonts w:hint="eastAsia" w:ascii="仿宋_GB2312" w:eastAsia="仿宋_GB2312"/>
          <w:bCs/>
          <w:snapToGrid w:val="0"/>
          <w:kern w:val="0"/>
          <w:sz w:val="32"/>
          <w:szCs w:val="32"/>
        </w:rPr>
        <w:t>浑南区2025年保护性耕作工作任务分解表</w:t>
      </w:r>
    </w:p>
    <w:p w14:paraId="026B5146">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bCs/>
          <w:snapToGrid w:val="0"/>
          <w:kern w:val="0"/>
          <w:sz w:val="32"/>
          <w:szCs w:val="32"/>
        </w:rPr>
      </w:pPr>
      <w:r>
        <w:rPr>
          <w:rFonts w:hint="eastAsia" w:ascii="仿宋_GB2312" w:eastAsia="仿宋_GB2312"/>
          <w:bCs/>
          <w:snapToGrid w:val="0"/>
          <w:kern w:val="0"/>
          <w:sz w:val="32"/>
          <w:szCs w:val="32"/>
        </w:rPr>
        <w:t>2</w:t>
      </w:r>
      <w:r>
        <w:rPr>
          <w:rFonts w:ascii="仿宋_GB2312" w:eastAsia="仿宋_GB2312"/>
          <w:bCs/>
          <w:snapToGrid w:val="0"/>
          <w:kern w:val="0"/>
          <w:sz w:val="32"/>
          <w:szCs w:val="32"/>
        </w:rPr>
        <w:t>.</w:t>
      </w:r>
      <w:r>
        <w:rPr>
          <w:rFonts w:hint="eastAsia" w:ascii="仿宋_GB2312" w:eastAsia="仿宋_GB2312"/>
          <w:bCs/>
          <w:snapToGrid w:val="0"/>
          <w:kern w:val="0"/>
          <w:sz w:val="32"/>
          <w:szCs w:val="32"/>
        </w:rPr>
        <w:t>辽宁省</w:t>
      </w:r>
      <w:r>
        <w:rPr>
          <w:rFonts w:ascii="仿宋_GB2312" w:eastAsia="仿宋_GB2312"/>
          <w:bCs/>
          <w:snapToGrid w:val="0"/>
          <w:kern w:val="0"/>
          <w:sz w:val="32"/>
          <w:szCs w:val="32"/>
        </w:rPr>
        <w:t>县级高标准保护性耕作应用基地建设标准</w:t>
      </w:r>
    </w:p>
    <w:p w14:paraId="235D5FB0">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bCs/>
          <w:snapToGrid w:val="0"/>
          <w:kern w:val="0"/>
          <w:sz w:val="32"/>
          <w:szCs w:val="32"/>
        </w:rPr>
      </w:pPr>
      <w:r>
        <w:rPr>
          <w:rFonts w:hint="eastAsia" w:ascii="仿宋_GB2312" w:eastAsia="仿宋_GB2312"/>
          <w:bCs/>
          <w:snapToGrid w:val="0"/>
          <w:kern w:val="0"/>
          <w:sz w:val="32"/>
          <w:szCs w:val="32"/>
        </w:rPr>
        <w:t>3.辽宁省</w:t>
      </w:r>
      <w:r>
        <w:rPr>
          <w:rFonts w:ascii="仿宋_GB2312" w:eastAsia="仿宋_GB2312"/>
          <w:bCs/>
          <w:snapToGrid w:val="0"/>
          <w:kern w:val="0"/>
          <w:sz w:val="32"/>
          <w:szCs w:val="32"/>
        </w:rPr>
        <w:t>乡级高标准保护性耕作应用基地建设标准</w:t>
      </w:r>
    </w:p>
    <w:p w14:paraId="24FCA56D">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ascii="仿宋_GB2312" w:eastAsia="仿宋_GB2312"/>
          <w:bCs/>
          <w:snapToGrid w:val="0"/>
          <w:kern w:val="0"/>
          <w:sz w:val="32"/>
          <w:szCs w:val="32"/>
        </w:rPr>
      </w:pPr>
      <w:r>
        <w:rPr>
          <w:rFonts w:hint="eastAsia" w:ascii="仿宋_GB2312" w:eastAsia="仿宋_GB2312"/>
          <w:bCs/>
          <w:snapToGrid w:val="0"/>
          <w:kern w:val="0"/>
          <w:sz w:val="32"/>
          <w:szCs w:val="32"/>
        </w:rPr>
        <w:t>4.沈阳市</w:t>
      </w:r>
      <w:r>
        <w:rPr>
          <w:rFonts w:ascii="仿宋_GB2312" w:eastAsia="仿宋_GB2312"/>
          <w:bCs/>
          <w:snapToGrid w:val="0"/>
          <w:kern w:val="0"/>
          <w:sz w:val="32"/>
          <w:szCs w:val="32"/>
        </w:rPr>
        <w:t>保护性耕作专家指导组成员名单</w:t>
      </w:r>
    </w:p>
    <w:p w14:paraId="36FD4981">
      <w:pPr>
        <w:pageBreakBefore w:val="0"/>
        <w:widowControl w:val="0"/>
        <w:kinsoku/>
        <w:overflowPunct/>
        <w:topLinePunct w:val="0"/>
        <w:bidi w:val="0"/>
        <w:adjustRightInd/>
        <w:snapToGrid/>
        <w:spacing w:line="579" w:lineRule="exact"/>
        <w:ind w:firstLine="1600" w:firstLineChars="500"/>
        <w:textAlignment w:val="auto"/>
        <w:rPr>
          <w:rFonts w:hint="eastAsia" w:ascii="仿宋_GB2312" w:hAnsi="仿宋_GB2312" w:eastAsia="仿宋_GB2312" w:cs="仿宋_GB2312"/>
          <w:sz w:val="32"/>
          <w:szCs w:val="32"/>
        </w:rPr>
      </w:pPr>
    </w:p>
    <w:p w14:paraId="4FBB104F">
      <w:pPr>
        <w:pageBreakBefore w:val="0"/>
        <w:widowControl w:val="0"/>
        <w:kinsoku/>
        <w:overflowPunct/>
        <w:topLinePunct w:val="0"/>
        <w:bidi w:val="0"/>
        <w:adjustRightInd/>
        <w:snapToGrid/>
        <w:spacing w:line="579" w:lineRule="exact"/>
        <w:ind w:firstLine="480" w:firstLineChars="150"/>
        <w:textAlignment w:val="auto"/>
        <w:rPr>
          <w:rFonts w:ascii="仿宋" w:hAnsi="仿宋" w:eastAsia="仿宋"/>
          <w:sz w:val="32"/>
          <w:szCs w:val="32"/>
        </w:rPr>
      </w:pPr>
    </w:p>
    <w:p w14:paraId="5EC3AE5B">
      <w:pPr>
        <w:pageBreakBefore w:val="0"/>
        <w:widowControl w:val="0"/>
        <w:kinsoku/>
        <w:overflowPunct/>
        <w:topLinePunct w:val="0"/>
        <w:bidi w:val="0"/>
        <w:adjustRightInd/>
        <w:snapToGrid/>
        <w:spacing w:line="579" w:lineRule="exact"/>
        <w:textAlignment w:val="auto"/>
        <w:rPr>
          <w:rFonts w:hint="eastAsia" w:ascii="方正小标宋简体" w:eastAsia="方正小标宋简体" w:cs="方正小标宋简体"/>
          <w:szCs w:val="21"/>
        </w:rPr>
      </w:pPr>
    </w:p>
    <w:p w14:paraId="1728D7FC">
      <w:pPr>
        <w:pageBreakBefore w:val="0"/>
        <w:widowControl w:val="0"/>
        <w:kinsoku/>
        <w:overflowPunct/>
        <w:topLinePunct w:val="0"/>
        <w:bidi w:val="0"/>
        <w:adjustRightInd/>
        <w:snapToGrid/>
        <w:spacing w:line="579" w:lineRule="exact"/>
        <w:textAlignment w:val="auto"/>
        <w:rPr>
          <w:rFonts w:hint="eastAsia" w:ascii="方正小标宋简体" w:eastAsia="方正小标宋简体" w:cs="方正小标宋简体"/>
          <w:szCs w:val="21"/>
        </w:rPr>
      </w:pPr>
    </w:p>
    <w:p w14:paraId="141E2A4C">
      <w:pPr>
        <w:pageBreakBefore w:val="0"/>
        <w:widowControl w:val="0"/>
        <w:kinsoku/>
        <w:wordWrap w:val="0"/>
        <w:overflowPunct/>
        <w:topLinePunct w:val="0"/>
        <w:bidi w:val="0"/>
        <w:adjustRightInd/>
        <w:snapToGrid/>
        <w:spacing w:line="579" w:lineRule="exact"/>
        <w:jc w:val="both"/>
        <w:textAlignment w:val="auto"/>
        <w:rPr>
          <w:rFonts w:hint="eastAsia" w:ascii="仿宋_GB2312" w:eastAsia="仿宋_GB2312"/>
          <w:sz w:val="32"/>
          <w:szCs w:val="32"/>
        </w:rPr>
      </w:pPr>
    </w:p>
    <w:p w14:paraId="3BD75C15">
      <w:pPr>
        <w:pStyle w:val="2"/>
        <w:rPr>
          <w:rFonts w:hint="eastAsia" w:ascii="仿宋_GB2312" w:eastAsia="仿宋_GB2312"/>
          <w:sz w:val="28"/>
          <w:szCs w:val="28"/>
        </w:rPr>
      </w:pPr>
    </w:p>
    <w:p w14:paraId="1B28BA2F">
      <w:pPr>
        <w:rPr>
          <w:rFonts w:hint="eastAsia" w:ascii="仿宋_GB2312" w:eastAsia="仿宋_GB2312"/>
          <w:sz w:val="28"/>
          <w:szCs w:val="28"/>
        </w:rPr>
      </w:pPr>
    </w:p>
    <w:p w14:paraId="603FC019">
      <w:pPr>
        <w:pStyle w:val="2"/>
        <w:adjustRightInd w:val="0"/>
        <w:snapToGrid w:val="0"/>
        <w:spacing w:line="560" w:lineRule="exact"/>
        <w:rPr>
          <w:rFonts w:ascii="仿宋_GB2312" w:eastAsia="仿宋_GB2312"/>
          <w:snapToGrid w:val="0"/>
          <w:kern w:val="0"/>
        </w:rPr>
      </w:pPr>
      <w:r>
        <w:rPr>
          <w:rFonts w:hint="eastAsia" w:ascii="仿宋_GB2312" w:eastAsia="仿宋_GB2312"/>
          <w:snapToGrid w:val="0"/>
          <w:kern w:val="0"/>
        </w:rPr>
        <w:t>附件1</w:t>
      </w:r>
    </w:p>
    <w:p w14:paraId="1ACA49F5"/>
    <w:p w14:paraId="692C7CBA">
      <w:pPr>
        <w:pStyle w:val="2"/>
        <w:rPr>
          <w:rFonts w:ascii="宋体" w:hAnsi="宋体"/>
          <w:sz w:val="44"/>
          <w:szCs w:val="44"/>
        </w:rPr>
      </w:pPr>
      <w:r>
        <w:rPr>
          <w:rFonts w:hint="eastAsia" w:ascii="宋体" w:hAnsi="宋体" w:cs="宋体"/>
          <w:b/>
          <w:bCs/>
          <w:snapToGrid w:val="0"/>
          <w:kern w:val="0"/>
          <w:sz w:val="44"/>
          <w:szCs w:val="44"/>
        </w:rPr>
        <w:t>浑南区2025年保护性耕作工作任务分解表</w:t>
      </w:r>
    </w:p>
    <w:p w14:paraId="5166758D"/>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2359"/>
        <w:gridCol w:w="2946"/>
        <w:gridCol w:w="1849"/>
      </w:tblGrid>
      <w:tr w14:paraId="749D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tcBorders>
              <w:top w:val="single" w:color="auto" w:sz="4" w:space="0"/>
            </w:tcBorders>
            <w:vAlign w:val="center"/>
          </w:tcPr>
          <w:p w14:paraId="628B072C">
            <w:pPr>
              <w:spacing w:line="520" w:lineRule="exact"/>
              <w:jc w:val="center"/>
              <w:rPr>
                <w:rFonts w:ascii="宋体" w:hAnsi="宋体" w:cs="宋体"/>
                <w:sz w:val="28"/>
                <w:szCs w:val="28"/>
              </w:rPr>
            </w:pPr>
            <w:r>
              <w:rPr>
                <w:rFonts w:hint="eastAsia" w:ascii="宋体" w:hAnsi="宋体" w:cs="宋体"/>
                <w:sz w:val="28"/>
                <w:szCs w:val="28"/>
              </w:rPr>
              <w:t>序号</w:t>
            </w:r>
          </w:p>
        </w:tc>
        <w:tc>
          <w:tcPr>
            <w:tcW w:w="2359" w:type="dxa"/>
            <w:tcBorders>
              <w:top w:val="single" w:color="auto" w:sz="4" w:space="0"/>
            </w:tcBorders>
            <w:vAlign w:val="center"/>
          </w:tcPr>
          <w:p w14:paraId="2A03397B">
            <w:pPr>
              <w:spacing w:line="520" w:lineRule="exact"/>
              <w:jc w:val="center"/>
              <w:rPr>
                <w:rFonts w:ascii="宋体" w:hAnsi="宋体" w:cs="宋体"/>
                <w:sz w:val="28"/>
                <w:szCs w:val="28"/>
              </w:rPr>
            </w:pPr>
            <w:r>
              <w:rPr>
                <w:rFonts w:hint="eastAsia" w:ascii="宋体" w:hAnsi="宋体" w:cs="宋体"/>
                <w:sz w:val="28"/>
                <w:szCs w:val="28"/>
              </w:rPr>
              <w:t>街道</w:t>
            </w:r>
          </w:p>
        </w:tc>
        <w:tc>
          <w:tcPr>
            <w:tcW w:w="2946" w:type="dxa"/>
            <w:tcBorders>
              <w:top w:val="single" w:color="auto" w:sz="4" w:space="0"/>
            </w:tcBorders>
            <w:vAlign w:val="center"/>
          </w:tcPr>
          <w:p w14:paraId="5859DE17">
            <w:pPr>
              <w:spacing w:line="520" w:lineRule="exact"/>
              <w:jc w:val="center"/>
              <w:rPr>
                <w:rFonts w:ascii="宋体" w:hAnsi="宋体" w:cs="宋体"/>
                <w:sz w:val="28"/>
                <w:szCs w:val="28"/>
              </w:rPr>
            </w:pPr>
            <w:r>
              <w:rPr>
                <w:rFonts w:hint="eastAsia" w:ascii="宋体" w:hAnsi="宋体" w:cs="宋体"/>
                <w:sz w:val="28"/>
                <w:szCs w:val="28"/>
              </w:rPr>
              <w:t>任务数（亩）</w:t>
            </w:r>
          </w:p>
        </w:tc>
        <w:tc>
          <w:tcPr>
            <w:tcW w:w="1849" w:type="dxa"/>
            <w:tcBorders>
              <w:top w:val="single" w:color="auto" w:sz="4" w:space="0"/>
            </w:tcBorders>
            <w:vAlign w:val="center"/>
          </w:tcPr>
          <w:p w14:paraId="39DE82C0">
            <w:pPr>
              <w:spacing w:line="520" w:lineRule="exact"/>
              <w:jc w:val="center"/>
              <w:rPr>
                <w:rFonts w:ascii="宋体" w:hAnsi="宋体" w:cs="宋体"/>
                <w:sz w:val="28"/>
                <w:szCs w:val="28"/>
              </w:rPr>
            </w:pPr>
            <w:r>
              <w:rPr>
                <w:rFonts w:hint="eastAsia" w:ascii="宋体" w:hAnsi="宋体" w:cs="宋体"/>
                <w:sz w:val="28"/>
                <w:szCs w:val="28"/>
              </w:rPr>
              <w:t>备注</w:t>
            </w:r>
          </w:p>
        </w:tc>
      </w:tr>
      <w:tr w14:paraId="598C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2719BA54">
            <w:pPr>
              <w:spacing w:line="520" w:lineRule="exact"/>
              <w:jc w:val="center"/>
              <w:rPr>
                <w:rFonts w:ascii="宋体" w:hAnsi="宋体" w:cs="宋体"/>
                <w:sz w:val="28"/>
                <w:szCs w:val="28"/>
              </w:rPr>
            </w:pPr>
            <w:r>
              <w:rPr>
                <w:rFonts w:hint="eastAsia" w:ascii="宋体" w:hAnsi="宋体" w:cs="宋体"/>
                <w:sz w:val="28"/>
                <w:szCs w:val="28"/>
              </w:rPr>
              <w:t>1</w:t>
            </w:r>
          </w:p>
        </w:tc>
        <w:tc>
          <w:tcPr>
            <w:tcW w:w="2359" w:type="dxa"/>
            <w:vAlign w:val="center"/>
          </w:tcPr>
          <w:p w14:paraId="7A6CCA8E">
            <w:pPr>
              <w:spacing w:line="520" w:lineRule="exact"/>
              <w:jc w:val="center"/>
              <w:rPr>
                <w:rFonts w:ascii="宋体" w:hAnsi="宋体" w:cs="宋体"/>
                <w:sz w:val="28"/>
                <w:szCs w:val="28"/>
              </w:rPr>
            </w:pPr>
            <w:r>
              <w:rPr>
                <w:rFonts w:hint="eastAsia" w:ascii="宋体" w:hAnsi="宋体" w:cs="宋体"/>
                <w:sz w:val="28"/>
                <w:szCs w:val="28"/>
              </w:rPr>
              <w:t>李相街道</w:t>
            </w:r>
          </w:p>
        </w:tc>
        <w:tc>
          <w:tcPr>
            <w:tcW w:w="2946" w:type="dxa"/>
            <w:vAlign w:val="center"/>
          </w:tcPr>
          <w:p w14:paraId="578EEB67">
            <w:pPr>
              <w:spacing w:line="520" w:lineRule="exact"/>
              <w:jc w:val="center"/>
              <w:rPr>
                <w:rFonts w:ascii="宋体" w:hAnsi="宋体" w:cs="宋体"/>
                <w:sz w:val="28"/>
                <w:szCs w:val="28"/>
              </w:rPr>
            </w:pPr>
            <w:r>
              <w:rPr>
                <w:rFonts w:hint="eastAsia" w:ascii="宋体" w:hAnsi="宋体" w:cs="宋体"/>
                <w:sz w:val="28"/>
                <w:szCs w:val="28"/>
              </w:rPr>
              <w:t>19000</w:t>
            </w:r>
          </w:p>
        </w:tc>
        <w:tc>
          <w:tcPr>
            <w:tcW w:w="1849" w:type="dxa"/>
            <w:vAlign w:val="center"/>
          </w:tcPr>
          <w:p w14:paraId="67057330">
            <w:pPr>
              <w:spacing w:line="520" w:lineRule="exact"/>
              <w:jc w:val="center"/>
              <w:rPr>
                <w:rFonts w:ascii="宋体" w:hAnsi="宋体" w:cs="宋体"/>
                <w:sz w:val="28"/>
                <w:szCs w:val="28"/>
              </w:rPr>
            </w:pPr>
          </w:p>
        </w:tc>
      </w:tr>
      <w:tr w14:paraId="7762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713093F2">
            <w:pPr>
              <w:spacing w:line="520" w:lineRule="exact"/>
              <w:jc w:val="center"/>
              <w:rPr>
                <w:rFonts w:ascii="宋体" w:hAnsi="宋体" w:cs="宋体"/>
                <w:sz w:val="28"/>
                <w:szCs w:val="28"/>
              </w:rPr>
            </w:pPr>
            <w:r>
              <w:rPr>
                <w:rFonts w:hint="eastAsia" w:ascii="宋体" w:hAnsi="宋体" w:cs="宋体"/>
                <w:sz w:val="28"/>
                <w:szCs w:val="28"/>
              </w:rPr>
              <w:t>2</w:t>
            </w:r>
          </w:p>
        </w:tc>
        <w:tc>
          <w:tcPr>
            <w:tcW w:w="2359" w:type="dxa"/>
            <w:vAlign w:val="center"/>
          </w:tcPr>
          <w:p w14:paraId="100A5268">
            <w:pPr>
              <w:spacing w:line="520" w:lineRule="exact"/>
              <w:jc w:val="center"/>
              <w:rPr>
                <w:rFonts w:ascii="宋体" w:hAnsi="宋体" w:cs="宋体"/>
                <w:sz w:val="28"/>
                <w:szCs w:val="28"/>
              </w:rPr>
            </w:pPr>
            <w:r>
              <w:rPr>
                <w:rFonts w:hint="eastAsia" w:ascii="宋体" w:hAnsi="宋体" w:cs="宋体"/>
                <w:sz w:val="28"/>
                <w:szCs w:val="28"/>
              </w:rPr>
              <w:t>王滨街道</w:t>
            </w:r>
          </w:p>
        </w:tc>
        <w:tc>
          <w:tcPr>
            <w:tcW w:w="2946" w:type="dxa"/>
            <w:vAlign w:val="center"/>
          </w:tcPr>
          <w:p w14:paraId="517CA759">
            <w:pPr>
              <w:spacing w:line="520" w:lineRule="exact"/>
              <w:jc w:val="center"/>
              <w:rPr>
                <w:rFonts w:ascii="宋体" w:hAnsi="宋体" w:cs="宋体"/>
                <w:sz w:val="28"/>
                <w:szCs w:val="28"/>
              </w:rPr>
            </w:pPr>
            <w:r>
              <w:rPr>
                <w:rFonts w:hint="eastAsia" w:ascii="宋体" w:hAnsi="宋体" w:cs="宋体"/>
                <w:sz w:val="28"/>
                <w:szCs w:val="28"/>
              </w:rPr>
              <w:t>12000</w:t>
            </w:r>
          </w:p>
        </w:tc>
        <w:tc>
          <w:tcPr>
            <w:tcW w:w="1849" w:type="dxa"/>
            <w:vAlign w:val="center"/>
          </w:tcPr>
          <w:p w14:paraId="294428A3">
            <w:pPr>
              <w:spacing w:line="520" w:lineRule="exact"/>
              <w:jc w:val="center"/>
              <w:rPr>
                <w:rFonts w:ascii="宋体" w:hAnsi="宋体" w:cs="宋体"/>
                <w:sz w:val="28"/>
                <w:szCs w:val="28"/>
              </w:rPr>
            </w:pPr>
          </w:p>
        </w:tc>
      </w:tr>
      <w:tr w14:paraId="2863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2BA961EE">
            <w:pPr>
              <w:spacing w:line="520" w:lineRule="exact"/>
              <w:jc w:val="center"/>
              <w:rPr>
                <w:rFonts w:ascii="宋体" w:hAnsi="宋体" w:cs="宋体"/>
                <w:sz w:val="28"/>
                <w:szCs w:val="28"/>
              </w:rPr>
            </w:pPr>
            <w:r>
              <w:rPr>
                <w:rFonts w:hint="eastAsia" w:ascii="宋体" w:hAnsi="宋体" w:cs="宋体"/>
                <w:sz w:val="28"/>
                <w:szCs w:val="28"/>
              </w:rPr>
              <w:t>3</w:t>
            </w:r>
          </w:p>
        </w:tc>
        <w:tc>
          <w:tcPr>
            <w:tcW w:w="2359" w:type="dxa"/>
            <w:vAlign w:val="center"/>
          </w:tcPr>
          <w:p w14:paraId="169BC181">
            <w:pPr>
              <w:spacing w:line="520" w:lineRule="exact"/>
              <w:jc w:val="center"/>
              <w:rPr>
                <w:rFonts w:ascii="宋体" w:hAnsi="宋体" w:cs="宋体"/>
                <w:sz w:val="28"/>
                <w:szCs w:val="28"/>
              </w:rPr>
            </w:pPr>
            <w:r>
              <w:rPr>
                <w:rFonts w:hint="eastAsia" w:ascii="宋体" w:hAnsi="宋体" w:cs="宋体"/>
                <w:sz w:val="28"/>
                <w:szCs w:val="28"/>
              </w:rPr>
              <w:t>祝家街道</w:t>
            </w:r>
          </w:p>
        </w:tc>
        <w:tc>
          <w:tcPr>
            <w:tcW w:w="2946" w:type="dxa"/>
            <w:vAlign w:val="center"/>
          </w:tcPr>
          <w:p w14:paraId="32F6D54B">
            <w:pPr>
              <w:spacing w:line="520" w:lineRule="exact"/>
              <w:jc w:val="center"/>
              <w:rPr>
                <w:rFonts w:ascii="宋体" w:hAnsi="宋体" w:cs="宋体"/>
                <w:sz w:val="28"/>
                <w:szCs w:val="28"/>
              </w:rPr>
            </w:pPr>
            <w:r>
              <w:rPr>
                <w:rFonts w:hint="eastAsia" w:ascii="宋体" w:hAnsi="宋体" w:cs="宋体"/>
                <w:sz w:val="28"/>
                <w:szCs w:val="28"/>
              </w:rPr>
              <w:t>12000</w:t>
            </w:r>
          </w:p>
        </w:tc>
        <w:tc>
          <w:tcPr>
            <w:tcW w:w="1849" w:type="dxa"/>
            <w:vAlign w:val="center"/>
          </w:tcPr>
          <w:p w14:paraId="2FBCCCED">
            <w:pPr>
              <w:spacing w:line="520" w:lineRule="exact"/>
              <w:jc w:val="center"/>
              <w:rPr>
                <w:rFonts w:ascii="宋体" w:hAnsi="宋体" w:cs="宋体"/>
                <w:sz w:val="28"/>
                <w:szCs w:val="28"/>
              </w:rPr>
            </w:pPr>
          </w:p>
        </w:tc>
      </w:tr>
      <w:tr w14:paraId="09F7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11544756">
            <w:pPr>
              <w:spacing w:line="520" w:lineRule="exact"/>
              <w:jc w:val="center"/>
              <w:rPr>
                <w:rFonts w:ascii="宋体" w:hAnsi="宋体" w:cs="宋体"/>
                <w:sz w:val="28"/>
                <w:szCs w:val="28"/>
              </w:rPr>
            </w:pPr>
            <w:r>
              <w:rPr>
                <w:rFonts w:hint="eastAsia" w:ascii="宋体" w:hAnsi="宋体" w:cs="宋体"/>
                <w:sz w:val="28"/>
                <w:szCs w:val="28"/>
              </w:rPr>
              <w:t>4</w:t>
            </w:r>
          </w:p>
        </w:tc>
        <w:tc>
          <w:tcPr>
            <w:tcW w:w="2359" w:type="dxa"/>
            <w:vAlign w:val="center"/>
          </w:tcPr>
          <w:p w14:paraId="7F7D8177">
            <w:pPr>
              <w:spacing w:line="520" w:lineRule="exact"/>
              <w:jc w:val="center"/>
              <w:rPr>
                <w:rFonts w:ascii="宋体" w:hAnsi="宋体" w:cs="宋体"/>
                <w:sz w:val="28"/>
                <w:szCs w:val="28"/>
              </w:rPr>
            </w:pPr>
            <w:r>
              <w:rPr>
                <w:rFonts w:hint="eastAsia" w:ascii="宋体" w:hAnsi="宋体" w:cs="宋体"/>
                <w:sz w:val="28"/>
                <w:szCs w:val="28"/>
              </w:rPr>
              <w:t>满堂街道</w:t>
            </w:r>
          </w:p>
        </w:tc>
        <w:tc>
          <w:tcPr>
            <w:tcW w:w="2946" w:type="dxa"/>
            <w:vAlign w:val="center"/>
          </w:tcPr>
          <w:p w14:paraId="299A5BB8">
            <w:pPr>
              <w:spacing w:line="520" w:lineRule="exact"/>
              <w:jc w:val="center"/>
              <w:rPr>
                <w:rFonts w:ascii="宋体" w:hAnsi="宋体" w:cs="宋体"/>
                <w:sz w:val="28"/>
                <w:szCs w:val="28"/>
              </w:rPr>
            </w:pPr>
            <w:r>
              <w:rPr>
                <w:rFonts w:hint="eastAsia" w:ascii="宋体" w:hAnsi="宋体" w:cs="宋体"/>
                <w:sz w:val="28"/>
                <w:szCs w:val="28"/>
              </w:rPr>
              <w:t>5000</w:t>
            </w:r>
          </w:p>
        </w:tc>
        <w:tc>
          <w:tcPr>
            <w:tcW w:w="1849" w:type="dxa"/>
            <w:vAlign w:val="center"/>
          </w:tcPr>
          <w:p w14:paraId="722CA839">
            <w:pPr>
              <w:spacing w:line="520" w:lineRule="exact"/>
              <w:jc w:val="center"/>
              <w:rPr>
                <w:rFonts w:ascii="宋体" w:hAnsi="宋体" w:cs="宋体"/>
                <w:sz w:val="28"/>
                <w:szCs w:val="28"/>
              </w:rPr>
            </w:pPr>
          </w:p>
        </w:tc>
      </w:tr>
      <w:tr w14:paraId="0328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16BD9B65">
            <w:pPr>
              <w:spacing w:line="520" w:lineRule="exact"/>
              <w:jc w:val="center"/>
              <w:rPr>
                <w:rFonts w:ascii="宋体" w:hAnsi="宋体" w:cs="宋体"/>
                <w:sz w:val="28"/>
                <w:szCs w:val="28"/>
              </w:rPr>
            </w:pPr>
            <w:r>
              <w:rPr>
                <w:rFonts w:hint="eastAsia" w:ascii="宋体" w:hAnsi="宋体" w:cs="宋体"/>
                <w:sz w:val="28"/>
                <w:szCs w:val="28"/>
              </w:rPr>
              <w:t>5</w:t>
            </w:r>
          </w:p>
        </w:tc>
        <w:tc>
          <w:tcPr>
            <w:tcW w:w="2359" w:type="dxa"/>
            <w:vAlign w:val="center"/>
          </w:tcPr>
          <w:p w14:paraId="797F37E8">
            <w:pPr>
              <w:spacing w:line="520" w:lineRule="exact"/>
              <w:jc w:val="center"/>
              <w:rPr>
                <w:rFonts w:ascii="宋体" w:hAnsi="宋体" w:cs="宋体"/>
                <w:sz w:val="28"/>
                <w:szCs w:val="28"/>
              </w:rPr>
            </w:pPr>
            <w:r>
              <w:rPr>
                <w:rFonts w:hint="eastAsia" w:ascii="宋体" w:hAnsi="宋体" w:cs="宋体"/>
                <w:sz w:val="28"/>
                <w:szCs w:val="28"/>
              </w:rPr>
              <w:t>东湖街道</w:t>
            </w:r>
          </w:p>
        </w:tc>
        <w:tc>
          <w:tcPr>
            <w:tcW w:w="2946" w:type="dxa"/>
            <w:vAlign w:val="center"/>
          </w:tcPr>
          <w:p w14:paraId="51CAA286">
            <w:pPr>
              <w:spacing w:line="520" w:lineRule="exact"/>
              <w:jc w:val="center"/>
              <w:rPr>
                <w:rFonts w:ascii="宋体" w:hAnsi="宋体" w:cs="宋体"/>
                <w:sz w:val="28"/>
                <w:szCs w:val="28"/>
              </w:rPr>
            </w:pPr>
            <w:r>
              <w:rPr>
                <w:rFonts w:hint="eastAsia" w:ascii="宋体" w:hAnsi="宋体" w:cs="宋体"/>
                <w:sz w:val="28"/>
                <w:szCs w:val="28"/>
              </w:rPr>
              <w:t>3000</w:t>
            </w:r>
          </w:p>
        </w:tc>
        <w:tc>
          <w:tcPr>
            <w:tcW w:w="1849" w:type="dxa"/>
            <w:vAlign w:val="center"/>
          </w:tcPr>
          <w:p w14:paraId="55949159">
            <w:pPr>
              <w:spacing w:line="520" w:lineRule="exact"/>
              <w:jc w:val="center"/>
              <w:rPr>
                <w:rFonts w:ascii="宋体" w:hAnsi="宋体" w:cs="宋体"/>
                <w:sz w:val="28"/>
                <w:szCs w:val="28"/>
              </w:rPr>
            </w:pPr>
          </w:p>
        </w:tc>
      </w:tr>
      <w:tr w14:paraId="257E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6242D1A4">
            <w:pPr>
              <w:spacing w:line="520" w:lineRule="exact"/>
              <w:jc w:val="center"/>
              <w:rPr>
                <w:rFonts w:ascii="宋体" w:hAnsi="宋体" w:cs="宋体"/>
                <w:sz w:val="28"/>
                <w:szCs w:val="28"/>
              </w:rPr>
            </w:pPr>
            <w:r>
              <w:rPr>
                <w:rFonts w:hint="eastAsia" w:ascii="宋体" w:hAnsi="宋体" w:cs="宋体"/>
                <w:sz w:val="28"/>
                <w:szCs w:val="28"/>
              </w:rPr>
              <w:t>6</w:t>
            </w:r>
          </w:p>
        </w:tc>
        <w:tc>
          <w:tcPr>
            <w:tcW w:w="2359" w:type="dxa"/>
            <w:vAlign w:val="center"/>
          </w:tcPr>
          <w:p w14:paraId="5A2B097D">
            <w:pPr>
              <w:spacing w:line="520" w:lineRule="exact"/>
              <w:jc w:val="center"/>
              <w:rPr>
                <w:rFonts w:ascii="宋体" w:hAnsi="宋体" w:cs="宋体"/>
                <w:sz w:val="28"/>
                <w:szCs w:val="28"/>
              </w:rPr>
            </w:pPr>
            <w:r>
              <w:rPr>
                <w:rFonts w:hint="eastAsia" w:ascii="宋体" w:hAnsi="宋体" w:cs="宋体"/>
                <w:sz w:val="28"/>
                <w:szCs w:val="28"/>
              </w:rPr>
              <w:t>桃仙街道</w:t>
            </w:r>
          </w:p>
        </w:tc>
        <w:tc>
          <w:tcPr>
            <w:tcW w:w="2946" w:type="dxa"/>
            <w:vAlign w:val="center"/>
          </w:tcPr>
          <w:p w14:paraId="28283758">
            <w:pPr>
              <w:spacing w:line="520" w:lineRule="exact"/>
              <w:jc w:val="center"/>
              <w:rPr>
                <w:rFonts w:ascii="宋体" w:hAnsi="宋体" w:cs="宋体"/>
                <w:sz w:val="28"/>
                <w:szCs w:val="28"/>
              </w:rPr>
            </w:pPr>
            <w:r>
              <w:rPr>
                <w:rFonts w:hint="eastAsia" w:ascii="宋体" w:hAnsi="宋体" w:cs="宋体"/>
                <w:sz w:val="28"/>
                <w:szCs w:val="28"/>
              </w:rPr>
              <w:t>5000</w:t>
            </w:r>
          </w:p>
        </w:tc>
        <w:tc>
          <w:tcPr>
            <w:tcW w:w="1849" w:type="dxa"/>
            <w:vAlign w:val="center"/>
          </w:tcPr>
          <w:p w14:paraId="2E22C89A">
            <w:pPr>
              <w:spacing w:line="520" w:lineRule="exact"/>
              <w:jc w:val="center"/>
              <w:rPr>
                <w:rFonts w:ascii="宋体" w:hAnsi="宋体" w:cs="宋体"/>
                <w:sz w:val="28"/>
                <w:szCs w:val="28"/>
              </w:rPr>
            </w:pPr>
          </w:p>
        </w:tc>
      </w:tr>
      <w:tr w14:paraId="5F6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55BF1484">
            <w:pPr>
              <w:spacing w:line="520" w:lineRule="exact"/>
              <w:jc w:val="center"/>
              <w:rPr>
                <w:rFonts w:ascii="宋体" w:hAnsi="宋体" w:cs="宋体"/>
                <w:sz w:val="28"/>
                <w:szCs w:val="28"/>
              </w:rPr>
            </w:pPr>
            <w:r>
              <w:rPr>
                <w:rFonts w:hint="eastAsia" w:ascii="宋体" w:hAnsi="宋体" w:cs="宋体"/>
                <w:sz w:val="28"/>
                <w:szCs w:val="28"/>
              </w:rPr>
              <w:t>7</w:t>
            </w:r>
          </w:p>
        </w:tc>
        <w:tc>
          <w:tcPr>
            <w:tcW w:w="2359" w:type="dxa"/>
            <w:vAlign w:val="center"/>
          </w:tcPr>
          <w:p w14:paraId="47759C80">
            <w:pPr>
              <w:spacing w:line="520" w:lineRule="exact"/>
              <w:jc w:val="center"/>
              <w:rPr>
                <w:rFonts w:ascii="宋体" w:hAnsi="宋体" w:cs="宋体"/>
                <w:sz w:val="28"/>
                <w:szCs w:val="28"/>
              </w:rPr>
            </w:pPr>
            <w:r>
              <w:rPr>
                <w:rFonts w:hint="eastAsia" w:ascii="宋体" w:hAnsi="宋体" w:cs="宋体"/>
                <w:sz w:val="28"/>
                <w:szCs w:val="28"/>
              </w:rPr>
              <w:t>高坎街道</w:t>
            </w:r>
          </w:p>
        </w:tc>
        <w:tc>
          <w:tcPr>
            <w:tcW w:w="2946" w:type="dxa"/>
            <w:vAlign w:val="center"/>
          </w:tcPr>
          <w:p w14:paraId="40B36033">
            <w:pPr>
              <w:spacing w:line="520" w:lineRule="exact"/>
              <w:jc w:val="center"/>
              <w:rPr>
                <w:rFonts w:ascii="宋体" w:hAnsi="宋体" w:cs="宋体"/>
                <w:sz w:val="28"/>
                <w:szCs w:val="28"/>
              </w:rPr>
            </w:pPr>
            <w:r>
              <w:rPr>
                <w:rFonts w:hint="eastAsia" w:ascii="宋体" w:hAnsi="宋体" w:cs="宋体"/>
                <w:sz w:val="28"/>
                <w:szCs w:val="28"/>
              </w:rPr>
              <w:t>4000</w:t>
            </w:r>
          </w:p>
        </w:tc>
        <w:tc>
          <w:tcPr>
            <w:tcW w:w="1849" w:type="dxa"/>
            <w:vAlign w:val="center"/>
          </w:tcPr>
          <w:p w14:paraId="34E8358A">
            <w:pPr>
              <w:spacing w:line="520" w:lineRule="exact"/>
              <w:jc w:val="center"/>
              <w:rPr>
                <w:rFonts w:ascii="宋体" w:hAnsi="宋体" w:cs="宋体"/>
                <w:sz w:val="28"/>
                <w:szCs w:val="28"/>
              </w:rPr>
            </w:pPr>
          </w:p>
        </w:tc>
      </w:tr>
      <w:tr w14:paraId="2B23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59" w:type="dxa"/>
            <w:vAlign w:val="center"/>
          </w:tcPr>
          <w:p w14:paraId="27D9567E">
            <w:pPr>
              <w:spacing w:line="520" w:lineRule="exact"/>
              <w:jc w:val="center"/>
              <w:rPr>
                <w:rFonts w:ascii="宋体" w:hAnsi="宋体" w:cs="宋体"/>
                <w:sz w:val="28"/>
                <w:szCs w:val="28"/>
              </w:rPr>
            </w:pPr>
            <w:r>
              <w:rPr>
                <w:rFonts w:hint="eastAsia" w:ascii="宋体" w:hAnsi="宋体" w:cs="宋体"/>
                <w:sz w:val="28"/>
                <w:szCs w:val="28"/>
              </w:rPr>
              <w:t>合计</w:t>
            </w:r>
          </w:p>
        </w:tc>
        <w:tc>
          <w:tcPr>
            <w:tcW w:w="2359" w:type="dxa"/>
            <w:vAlign w:val="center"/>
          </w:tcPr>
          <w:p w14:paraId="012D7946">
            <w:pPr>
              <w:spacing w:line="520" w:lineRule="exact"/>
              <w:jc w:val="center"/>
              <w:rPr>
                <w:rFonts w:ascii="宋体" w:hAnsi="宋体" w:cs="宋体"/>
                <w:sz w:val="28"/>
                <w:szCs w:val="28"/>
              </w:rPr>
            </w:pPr>
          </w:p>
        </w:tc>
        <w:tc>
          <w:tcPr>
            <w:tcW w:w="2946" w:type="dxa"/>
            <w:vAlign w:val="center"/>
          </w:tcPr>
          <w:p w14:paraId="0A177B95">
            <w:pPr>
              <w:spacing w:line="520" w:lineRule="exact"/>
              <w:jc w:val="center"/>
              <w:rPr>
                <w:rFonts w:ascii="宋体" w:hAnsi="宋体" w:cs="宋体"/>
                <w:sz w:val="28"/>
                <w:szCs w:val="28"/>
              </w:rPr>
            </w:pPr>
            <w:r>
              <w:rPr>
                <w:rFonts w:hint="eastAsia" w:ascii="宋体" w:hAnsi="宋体" w:cs="宋体"/>
                <w:sz w:val="28"/>
                <w:szCs w:val="28"/>
              </w:rPr>
              <w:t>60000</w:t>
            </w:r>
          </w:p>
        </w:tc>
        <w:tc>
          <w:tcPr>
            <w:tcW w:w="1849" w:type="dxa"/>
            <w:vAlign w:val="center"/>
          </w:tcPr>
          <w:p w14:paraId="41C4BFE4">
            <w:pPr>
              <w:spacing w:line="520" w:lineRule="exact"/>
              <w:jc w:val="center"/>
              <w:rPr>
                <w:rFonts w:ascii="宋体" w:hAnsi="宋体" w:cs="宋体"/>
                <w:sz w:val="28"/>
                <w:szCs w:val="28"/>
              </w:rPr>
            </w:pPr>
          </w:p>
        </w:tc>
      </w:tr>
    </w:tbl>
    <w:p w14:paraId="3D1CF73C"/>
    <w:p w14:paraId="66FB33D3">
      <w:pPr>
        <w:pStyle w:val="2"/>
      </w:pPr>
      <w:r>
        <w:br w:type="page"/>
      </w:r>
    </w:p>
    <w:p w14:paraId="0EBA60FD">
      <w:pPr>
        <w:spacing w:line="560" w:lineRule="atLeast"/>
        <w:jc w:val="left"/>
        <w:rPr>
          <w:rFonts w:ascii="仿宋_GB2312" w:hAnsi="黑体" w:eastAsia="仿宋_GB2312" w:cs="黑体"/>
          <w:sz w:val="32"/>
          <w:szCs w:val="32"/>
        </w:rPr>
      </w:pPr>
      <w:r>
        <w:rPr>
          <w:rFonts w:hint="eastAsia" w:ascii="仿宋_GB2312" w:hAnsi="黑体" w:eastAsia="仿宋_GB2312" w:cs="黑体"/>
          <w:sz w:val="32"/>
          <w:szCs w:val="32"/>
        </w:rPr>
        <w:t>附件2</w:t>
      </w:r>
    </w:p>
    <w:p w14:paraId="7D5D6F25">
      <w:pPr>
        <w:spacing w:line="560" w:lineRule="exact"/>
        <w:jc w:val="center"/>
        <w:rPr>
          <w:b/>
          <w:sz w:val="44"/>
          <w:szCs w:val="44"/>
        </w:rPr>
      </w:pPr>
      <w:r>
        <w:rPr>
          <w:b/>
          <w:sz w:val="44"/>
          <w:szCs w:val="44"/>
        </w:rPr>
        <w:t>辽宁省县级高标准保护性耕作</w:t>
      </w:r>
    </w:p>
    <w:p w14:paraId="6B780252">
      <w:pPr>
        <w:spacing w:line="560" w:lineRule="exact"/>
        <w:jc w:val="center"/>
        <w:rPr>
          <w:b/>
          <w:sz w:val="44"/>
          <w:szCs w:val="44"/>
        </w:rPr>
      </w:pPr>
      <w:r>
        <w:rPr>
          <w:b/>
          <w:sz w:val="44"/>
          <w:szCs w:val="44"/>
        </w:rPr>
        <w:t>应用基地建设标准</w:t>
      </w:r>
    </w:p>
    <w:p w14:paraId="7072C8A5">
      <w:pPr>
        <w:spacing w:line="560" w:lineRule="exact"/>
        <w:rPr>
          <w:rFonts w:eastAsia="仿宋_GB2312"/>
          <w:sz w:val="32"/>
          <w:szCs w:val="32"/>
        </w:rPr>
      </w:pPr>
    </w:p>
    <w:p w14:paraId="71F966AE">
      <w:pPr>
        <w:spacing w:line="560" w:lineRule="exact"/>
        <w:ind w:firstLine="640" w:firstLineChars="200"/>
        <w:rPr>
          <w:rFonts w:eastAsia="仿宋_GB2312"/>
          <w:sz w:val="32"/>
          <w:szCs w:val="32"/>
        </w:rPr>
      </w:pPr>
      <w:r>
        <w:rPr>
          <w:rFonts w:eastAsia="仿宋_GB2312"/>
          <w:sz w:val="32"/>
          <w:szCs w:val="32"/>
        </w:rPr>
        <w:t>为保障保护性耕作应用基地建设质量，县级保护性耕作应用基地建设应符合以下标准和条件。</w:t>
      </w:r>
    </w:p>
    <w:p w14:paraId="76B7C3AA">
      <w:pPr>
        <w:spacing w:line="560" w:lineRule="exact"/>
        <w:ind w:firstLine="640" w:firstLineChars="200"/>
        <w:rPr>
          <w:rFonts w:eastAsia="黑体"/>
          <w:sz w:val="32"/>
          <w:szCs w:val="32"/>
        </w:rPr>
      </w:pPr>
      <w:r>
        <w:rPr>
          <w:rFonts w:eastAsia="黑体"/>
          <w:sz w:val="32"/>
          <w:szCs w:val="32"/>
        </w:rPr>
        <w:t>一、建设主体</w:t>
      </w:r>
    </w:p>
    <w:p w14:paraId="76ACCF0C">
      <w:pPr>
        <w:spacing w:line="560" w:lineRule="exact"/>
        <w:ind w:firstLine="640" w:firstLineChars="200"/>
        <w:rPr>
          <w:rFonts w:eastAsia="仿宋_GB2312"/>
          <w:sz w:val="32"/>
          <w:szCs w:val="32"/>
        </w:rPr>
      </w:pPr>
      <w:r>
        <w:rPr>
          <w:rFonts w:eastAsia="仿宋_GB2312"/>
          <w:sz w:val="32"/>
          <w:szCs w:val="32"/>
        </w:rPr>
        <w:t>择优确定装备实力较强、技术应用较好、积极性较高、经营管理规范、社会信誉度高的农机合作社、家庭农场等新型农业经营主体承担县级应用基地建设。实施建设主体须具备与建设要求相应的作业、技术等能力和条件。</w:t>
      </w:r>
    </w:p>
    <w:p w14:paraId="77F254E2">
      <w:pPr>
        <w:spacing w:line="560" w:lineRule="exact"/>
        <w:ind w:firstLine="640" w:firstLineChars="200"/>
        <w:rPr>
          <w:rFonts w:eastAsia="黑体"/>
          <w:sz w:val="32"/>
          <w:szCs w:val="32"/>
        </w:rPr>
      </w:pPr>
      <w:r>
        <w:rPr>
          <w:rFonts w:eastAsia="黑体"/>
          <w:sz w:val="32"/>
          <w:szCs w:val="32"/>
        </w:rPr>
        <w:t>二、建设规模</w:t>
      </w:r>
    </w:p>
    <w:p w14:paraId="5D6AC9A6">
      <w:pPr>
        <w:spacing w:line="560" w:lineRule="exact"/>
        <w:ind w:firstLine="640" w:firstLineChars="200"/>
        <w:rPr>
          <w:rFonts w:eastAsia="仿宋_GB2312"/>
          <w:sz w:val="32"/>
          <w:szCs w:val="32"/>
        </w:rPr>
      </w:pPr>
      <w:r>
        <w:rPr>
          <w:rFonts w:eastAsia="仿宋_GB2312"/>
          <w:sz w:val="32"/>
          <w:szCs w:val="32"/>
        </w:rPr>
        <w:t>基地应相对集中，实施面积不少于1000亩，必须全部为自有或流转耕地。要保障应用基地建设的持续性和稳定性，同一地块技术应用再连续实施</w:t>
      </w:r>
      <w:r>
        <w:rPr>
          <w:rFonts w:hint="eastAsia" w:eastAsia="仿宋_GB2312"/>
          <w:sz w:val="32"/>
          <w:szCs w:val="32"/>
        </w:rPr>
        <w:t>2</w:t>
      </w:r>
      <w:r>
        <w:rPr>
          <w:rFonts w:eastAsia="仿宋_GB2312"/>
          <w:sz w:val="32"/>
          <w:szCs w:val="32"/>
        </w:rPr>
        <w:t>年以上。</w:t>
      </w:r>
    </w:p>
    <w:p w14:paraId="78E69E6F">
      <w:pPr>
        <w:spacing w:line="560" w:lineRule="exact"/>
        <w:ind w:firstLine="640" w:firstLineChars="200"/>
        <w:rPr>
          <w:rFonts w:eastAsia="黑体"/>
          <w:sz w:val="32"/>
          <w:szCs w:val="32"/>
        </w:rPr>
      </w:pPr>
      <w:r>
        <w:rPr>
          <w:rFonts w:eastAsia="黑体"/>
          <w:sz w:val="32"/>
          <w:szCs w:val="32"/>
        </w:rPr>
        <w:t>三、技术应用</w:t>
      </w:r>
    </w:p>
    <w:p w14:paraId="3FF58600">
      <w:pPr>
        <w:spacing w:line="560" w:lineRule="exact"/>
        <w:ind w:firstLine="632" w:firstLineChars="200"/>
        <w:rPr>
          <w:rFonts w:eastAsia="仿宋_GB2312"/>
          <w:sz w:val="32"/>
          <w:szCs w:val="32"/>
        </w:rPr>
      </w:pPr>
      <w:r>
        <w:rPr>
          <w:rFonts w:eastAsia="仿宋_GB2312"/>
          <w:color w:val="000000"/>
          <w:spacing w:val="-2"/>
          <w:kern w:val="32"/>
          <w:sz w:val="32"/>
          <w:szCs w:val="32"/>
        </w:rPr>
        <w:t>基地秸秆覆盖原则上应以</w:t>
      </w:r>
      <w:r>
        <w:rPr>
          <w:rFonts w:eastAsia="仿宋_GB2312"/>
          <w:spacing w:val="11"/>
          <w:sz w:val="32"/>
          <w:szCs w:val="32"/>
        </w:rPr>
        <w:t>玉米</w:t>
      </w:r>
      <w:r>
        <w:rPr>
          <w:rFonts w:eastAsia="仿宋_GB2312"/>
          <w:color w:val="000000"/>
          <w:spacing w:val="-2"/>
          <w:kern w:val="32"/>
          <w:sz w:val="32"/>
          <w:szCs w:val="32"/>
        </w:rPr>
        <w:t>秸秆大量覆盖还田（覆盖率60%以上）为主。</w:t>
      </w:r>
      <w:r>
        <w:rPr>
          <w:rFonts w:hint="eastAsia" w:eastAsia="仿宋_GB2312"/>
          <w:spacing w:val="-2"/>
          <w:kern w:val="32"/>
          <w:sz w:val="32"/>
          <w:szCs w:val="32"/>
        </w:rPr>
        <w:t>鼓励多采取免耕播种方式，免耕播种面积</w:t>
      </w:r>
      <w:r>
        <w:rPr>
          <w:rFonts w:eastAsia="仿宋_GB2312"/>
          <w:spacing w:val="-2"/>
          <w:kern w:val="32"/>
          <w:sz w:val="32"/>
          <w:szCs w:val="32"/>
        </w:rPr>
        <w:t>应</w:t>
      </w:r>
      <w:r>
        <w:rPr>
          <w:rFonts w:hint="eastAsia" w:eastAsia="仿宋_GB2312"/>
          <w:spacing w:val="-2"/>
          <w:kern w:val="32"/>
          <w:sz w:val="32"/>
          <w:szCs w:val="32"/>
        </w:rPr>
        <w:t>达到</w:t>
      </w:r>
      <w:r>
        <w:rPr>
          <w:rFonts w:eastAsia="仿宋_GB2312"/>
          <w:spacing w:val="-2"/>
          <w:kern w:val="32"/>
          <w:sz w:val="32"/>
          <w:szCs w:val="32"/>
        </w:rPr>
        <w:t>基地面积的30%。</w:t>
      </w:r>
    </w:p>
    <w:p w14:paraId="4C9EDC82">
      <w:pPr>
        <w:spacing w:line="560" w:lineRule="exact"/>
        <w:ind w:firstLine="640" w:firstLineChars="200"/>
        <w:rPr>
          <w:rFonts w:eastAsia="黑体"/>
          <w:sz w:val="32"/>
          <w:szCs w:val="32"/>
        </w:rPr>
      </w:pPr>
      <w:r>
        <w:rPr>
          <w:rFonts w:eastAsia="黑体"/>
          <w:sz w:val="32"/>
          <w:szCs w:val="32"/>
        </w:rPr>
        <w:t>四、技术保障</w:t>
      </w:r>
    </w:p>
    <w:p w14:paraId="5E6A81CA">
      <w:pPr>
        <w:spacing w:line="560" w:lineRule="exact"/>
        <w:ind w:firstLine="640" w:firstLineChars="200"/>
        <w:rPr>
          <w:rFonts w:eastAsia="仿宋_GB2312"/>
          <w:sz w:val="32"/>
          <w:szCs w:val="32"/>
        </w:rPr>
      </w:pPr>
      <w:r>
        <w:rPr>
          <w:rFonts w:eastAsia="仿宋_GB2312"/>
          <w:sz w:val="32"/>
          <w:szCs w:val="32"/>
        </w:rPr>
        <w:t>以省、市科研和推广单位为依托，</w:t>
      </w:r>
      <w:r>
        <w:rPr>
          <w:rFonts w:hint="eastAsia" w:eastAsia="仿宋_GB2312"/>
          <w:sz w:val="32"/>
          <w:szCs w:val="32"/>
        </w:rPr>
        <w:t>负责</w:t>
      </w:r>
      <w:r>
        <w:rPr>
          <w:rFonts w:eastAsia="仿宋_GB2312"/>
          <w:sz w:val="32"/>
          <w:szCs w:val="32"/>
        </w:rPr>
        <w:t>对基地</w:t>
      </w:r>
      <w:r>
        <w:rPr>
          <w:rFonts w:hint="eastAsia" w:eastAsia="仿宋_GB2312"/>
          <w:sz w:val="32"/>
          <w:szCs w:val="32"/>
        </w:rPr>
        <w:t>的</w:t>
      </w:r>
      <w:r>
        <w:rPr>
          <w:rFonts w:eastAsia="仿宋_GB2312"/>
          <w:sz w:val="32"/>
          <w:szCs w:val="32"/>
        </w:rPr>
        <w:t>技术</w:t>
      </w:r>
      <w:r>
        <w:rPr>
          <w:rFonts w:hint="eastAsia" w:eastAsia="仿宋_GB2312"/>
          <w:sz w:val="32"/>
          <w:szCs w:val="32"/>
        </w:rPr>
        <w:t>支撑</w:t>
      </w:r>
      <w:r>
        <w:rPr>
          <w:rFonts w:eastAsia="仿宋_GB2312"/>
          <w:sz w:val="32"/>
          <w:szCs w:val="32"/>
        </w:rPr>
        <w:t>服务</w:t>
      </w:r>
      <w:r>
        <w:rPr>
          <w:rFonts w:hint="eastAsia" w:eastAsia="仿宋_GB2312"/>
          <w:sz w:val="32"/>
          <w:szCs w:val="32"/>
        </w:rPr>
        <w:t>和监测数据采集分析</w:t>
      </w:r>
      <w:r>
        <w:rPr>
          <w:rFonts w:eastAsia="仿宋_GB2312"/>
          <w:sz w:val="32"/>
          <w:szCs w:val="32"/>
        </w:rPr>
        <w:t>。以适用性为基础，在模式选择、技术路线、指导应用、技术培训、宣传引导、应用效果监测等方面提供技术支撑和保障。加强对基地的技术指导，实行基地“1+1+2”技术指导方式，即每个基地配备1个技术支撑单位，1</w:t>
      </w:r>
      <w:r>
        <w:rPr>
          <w:rFonts w:eastAsia="仿宋_GB2312"/>
          <w:spacing w:val="-6"/>
          <w:sz w:val="32"/>
          <w:szCs w:val="32"/>
        </w:rPr>
        <w:t>位技术指导专家，每位专家每年至少2次赴基地开展现场技术指导。</w:t>
      </w:r>
    </w:p>
    <w:p w14:paraId="7C62F77D">
      <w:pPr>
        <w:spacing w:line="560" w:lineRule="exact"/>
        <w:ind w:firstLine="640" w:firstLineChars="200"/>
        <w:rPr>
          <w:rFonts w:eastAsia="黑体"/>
          <w:sz w:val="32"/>
          <w:szCs w:val="32"/>
        </w:rPr>
      </w:pPr>
      <w:r>
        <w:rPr>
          <w:rFonts w:eastAsia="黑体"/>
          <w:sz w:val="32"/>
          <w:szCs w:val="32"/>
        </w:rPr>
        <w:t>五、建设目标</w:t>
      </w:r>
    </w:p>
    <w:p w14:paraId="52311682">
      <w:pPr>
        <w:spacing w:line="560" w:lineRule="exact"/>
        <w:ind w:firstLine="643" w:firstLineChars="200"/>
        <w:rPr>
          <w:rFonts w:eastAsia="仿宋_GB2312"/>
          <w:sz w:val="32"/>
          <w:szCs w:val="32"/>
        </w:rPr>
      </w:pPr>
      <w:r>
        <w:rPr>
          <w:rFonts w:eastAsia="仿宋_GB2312"/>
          <w:b/>
          <w:sz w:val="32"/>
          <w:szCs w:val="32"/>
        </w:rPr>
        <w:t>1.建立完善的技术应用体系。</w:t>
      </w:r>
      <w:r>
        <w:rPr>
          <w:rFonts w:eastAsia="仿宋_GB2312"/>
          <w:sz w:val="32"/>
          <w:szCs w:val="32"/>
        </w:rPr>
        <w:t>明确适宜本区域的保护性耕作主推模式、技术路线和技术措施，制定完善相关技术方案、技术标准、操作规程等内容，有效指导技术应用，引领区域技术进步。</w:t>
      </w:r>
    </w:p>
    <w:p w14:paraId="4A14DCC9">
      <w:pPr>
        <w:widowControl/>
        <w:spacing w:line="560" w:lineRule="exact"/>
        <w:ind w:firstLine="643" w:firstLineChars="200"/>
        <w:rPr>
          <w:rFonts w:eastAsia="仿宋_GB2312"/>
          <w:sz w:val="32"/>
          <w:szCs w:val="32"/>
        </w:rPr>
      </w:pPr>
      <w:r>
        <w:rPr>
          <w:rFonts w:eastAsia="仿宋_GB2312"/>
          <w:b/>
          <w:sz w:val="32"/>
          <w:szCs w:val="32"/>
        </w:rPr>
        <w:t>2.建立完善的技术监测体系。</w:t>
      </w:r>
      <w:r>
        <w:rPr>
          <w:rFonts w:eastAsia="仿宋_GB2312"/>
          <w:sz w:val="32"/>
          <w:szCs w:val="32"/>
        </w:rPr>
        <w:t>持续开展耕地理化、生物性状、生产成本、作物产量、病虫草害、机具装备及技术适用性等情况的监测试验工作，促进区域技术模式和技术应用优化升级。</w:t>
      </w:r>
    </w:p>
    <w:p w14:paraId="4A4FF2A7">
      <w:pPr>
        <w:widowControl/>
        <w:spacing w:line="560" w:lineRule="exact"/>
        <w:ind w:firstLine="643" w:firstLineChars="200"/>
        <w:rPr>
          <w:rFonts w:eastAsia="仿宋_GB2312"/>
          <w:sz w:val="32"/>
          <w:szCs w:val="32"/>
        </w:rPr>
      </w:pPr>
      <w:r>
        <w:rPr>
          <w:rFonts w:eastAsia="仿宋_GB2312"/>
          <w:b/>
          <w:sz w:val="32"/>
          <w:szCs w:val="32"/>
        </w:rPr>
        <w:t>3.建立完善的创新研发机制。</w:t>
      </w:r>
      <w:r>
        <w:rPr>
          <w:rFonts w:eastAsia="仿宋_GB2312"/>
          <w:sz w:val="32"/>
          <w:szCs w:val="32"/>
        </w:rPr>
        <w:t>结合自然条件、土壤条件、种植模式等实际情况，开展不同技术模式比对试验、技术筛选和技术研发，提高本区域高标准保护性耕作技术应用的针对性和适应性。开展基础性、关键性、长远性技术研究，逐步建立技术应用的长效机制。</w:t>
      </w:r>
    </w:p>
    <w:p w14:paraId="2523D93C">
      <w:pPr>
        <w:widowControl/>
        <w:spacing w:line="560" w:lineRule="exact"/>
        <w:ind w:firstLine="643" w:firstLineChars="200"/>
        <w:rPr>
          <w:rFonts w:eastAsia="仿宋_GB2312"/>
          <w:sz w:val="32"/>
          <w:szCs w:val="32"/>
        </w:rPr>
      </w:pPr>
      <w:r>
        <w:rPr>
          <w:rFonts w:eastAsia="仿宋_GB2312"/>
          <w:b/>
          <w:sz w:val="32"/>
          <w:szCs w:val="32"/>
        </w:rPr>
        <w:t>4.充分发挥示范功能和效果。</w:t>
      </w:r>
      <w:r>
        <w:rPr>
          <w:rFonts w:eastAsia="仿宋_GB2312"/>
          <w:sz w:val="32"/>
          <w:szCs w:val="32"/>
        </w:rPr>
        <w:t>打造集成果展示、指导培训、宣传推广、技术集成应用于一体的高标准保护性耕作示范应用基地，引领县域保护性耕作高标准高质量发展。</w:t>
      </w:r>
    </w:p>
    <w:p w14:paraId="015C79DD">
      <w:pPr>
        <w:widowControl/>
        <w:spacing w:line="560" w:lineRule="atLeast"/>
        <w:jc w:val="left"/>
        <w:rPr>
          <w:rFonts w:ascii="仿宋_GB2312" w:eastAsia="仿宋_GB2312"/>
          <w:sz w:val="32"/>
          <w:szCs w:val="32"/>
        </w:rPr>
      </w:pPr>
      <w:r>
        <w:rPr>
          <w:rFonts w:eastAsia="仿宋_GB2312"/>
          <w:sz w:val="32"/>
          <w:szCs w:val="32"/>
        </w:rPr>
        <w:br w:type="page"/>
      </w:r>
      <w:r>
        <w:rPr>
          <w:rFonts w:hint="eastAsia" w:ascii="仿宋_GB2312" w:hAnsi="黑体" w:eastAsia="仿宋_GB2312" w:cs="黑体"/>
          <w:sz w:val="32"/>
          <w:szCs w:val="32"/>
        </w:rPr>
        <w:t>附件3</w:t>
      </w:r>
    </w:p>
    <w:p w14:paraId="38E3D066">
      <w:pPr>
        <w:spacing w:line="580" w:lineRule="exact"/>
        <w:jc w:val="center"/>
        <w:rPr>
          <w:b/>
          <w:sz w:val="44"/>
          <w:szCs w:val="44"/>
        </w:rPr>
      </w:pPr>
      <w:r>
        <w:rPr>
          <w:b/>
          <w:sz w:val="44"/>
          <w:szCs w:val="44"/>
        </w:rPr>
        <w:t>辽宁省乡级高标准保护性耕作</w:t>
      </w:r>
    </w:p>
    <w:p w14:paraId="06070F62">
      <w:pPr>
        <w:spacing w:line="580" w:lineRule="exact"/>
        <w:jc w:val="center"/>
        <w:rPr>
          <w:b/>
          <w:sz w:val="44"/>
          <w:szCs w:val="44"/>
        </w:rPr>
      </w:pPr>
      <w:r>
        <w:rPr>
          <w:b/>
          <w:sz w:val="44"/>
          <w:szCs w:val="44"/>
        </w:rPr>
        <w:t>应用基地建设标准</w:t>
      </w:r>
    </w:p>
    <w:p w14:paraId="1AE2B04C">
      <w:pPr>
        <w:spacing w:line="580" w:lineRule="exact"/>
        <w:rPr>
          <w:rFonts w:eastAsia="仿宋_GB2312"/>
          <w:sz w:val="32"/>
          <w:szCs w:val="32"/>
        </w:rPr>
      </w:pPr>
    </w:p>
    <w:p w14:paraId="790AE093">
      <w:pPr>
        <w:spacing w:line="580" w:lineRule="exact"/>
        <w:ind w:firstLine="640" w:firstLineChars="200"/>
        <w:rPr>
          <w:rFonts w:eastAsia="仿宋_GB2312"/>
          <w:sz w:val="32"/>
          <w:szCs w:val="32"/>
        </w:rPr>
      </w:pPr>
      <w:r>
        <w:rPr>
          <w:rFonts w:eastAsia="仿宋_GB2312"/>
          <w:sz w:val="32"/>
          <w:szCs w:val="32"/>
        </w:rPr>
        <w:t>为保障保护性耕作应用基地建设质量，乡级保护性耕作应用基地建设应符合以下标准和条件。</w:t>
      </w:r>
    </w:p>
    <w:p w14:paraId="4B770413">
      <w:pPr>
        <w:spacing w:line="580" w:lineRule="exact"/>
        <w:ind w:firstLine="640" w:firstLineChars="200"/>
        <w:rPr>
          <w:rFonts w:eastAsia="黑体"/>
          <w:sz w:val="32"/>
          <w:szCs w:val="32"/>
        </w:rPr>
      </w:pPr>
      <w:r>
        <w:rPr>
          <w:rFonts w:eastAsia="黑体"/>
          <w:sz w:val="32"/>
          <w:szCs w:val="32"/>
        </w:rPr>
        <w:t>一、建设主体</w:t>
      </w:r>
    </w:p>
    <w:p w14:paraId="46A19280">
      <w:pPr>
        <w:spacing w:line="580" w:lineRule="exact"/>
        <w:ind w:firstLine="640" w:firstLineChars="200"/>
        <w:rPr>
          <w:rFonts w:eastAsia="仿宋_GB2312"/>
          <w:sz w:val="32"/>
          <w:szCs w:val="32"/>
        </w:rPr>
      </w:pPr>
      <w:r>
        <w:rPr>
          <w:rFonts w:eastAsia="仿宋_GB2312"/>
          <w:sz w:val="32"/>
          <w:szCs w:val="32"/>
        </w:rPr>
        <w:t>选择装备实力较强、技术应用较好、积极性较高、经营管理规范、社会信誉度高的农机合作社、家庭农场等新型农业经营主体及种粮大户、农机大户承担乡级应用基地建设。实施建设主体须具备与建设要求相应的作业、技术等能力和条件。</w:t>
      </w:r>
    </w:p>
    <w:p w14:paraId="41B5A40A">
      <w:pPr>
        <w:spacing w:line="580" w:lineRule="exact"/>
        <w:ind w:firstLine="640" w:firstLineChars="200"/>
        <w:rPr>
          <w:rFonts w:eastAsia="黑体"/>
          <w:sz w:val="32"/>
          <w:szCs w:val="32"/>
        </w:rPr>
      </w:pPr>
      <w:r>
        <w:rPr>
          <w:rFonts w:eastAsia="黑体"/>
          <w:sz w:val="32"/>
          <w:szCs w:val="32"/>
        </w:rPr>
        <w:t>二、建设规模</w:t>
      </w:r>
    </w:p>
    <w:p w14:paraId="174FEE34">
      <w:pPr>
        <w:spacing w:line="580" w:lineRule="exact"/>
        <w:ind w:firstLine="640" w:firstLineChars="200"/>
        <w:rPr>
          <w:rFonts w:eastAsia="仿宋_GB2312"/>
          <w:sz w:val="32"/>
          <w:szCs w:val="32"/>
        </w:rPr>
      </w:pPr>
      <w:r>
        <w:rPr>
          <w:rFonts w:eastAsia="仿宋_GB2312"/>
          <w:sz w:val="32"/>
          <w:szCs w:val="32"/>
        </w:rPr>
        <w:t>基地应相对集中，实施面积不少于200亩，必须全部为自有或流转耕地。要保障应用基地建设的持续性和稳定性，同一地块技术应用再连续实施</w:t>
      </w:r>
      <w:r>
        <w:rPr>
          <w:rFonts w:hint="eastAsia" w:eastAsia="仿宋_GB2312"/>
          <w:sz w:val="32"/>
          <w:szCs w:val="32"/>
        </w:rPr>
        <w:t>2</w:t>
      </w:r>
      <w:r>
        <w:rPr>
          <w:rFonts w:eastAsia="仿宋_GB2312"/>
          <w:sz w:val="32"/>
          <w:szCs w:val="32"/>
        </w:rPr>
        <w:t>年以上。</w:t>
      </w:r>
    </w:p>
    <w:p w14:paraId="6FAED65D">
      <w:pPr>
        <w:spacing w:line="580" w:lineRule="exact"/>
        <w:ind w:firstLine="640" w:firstLineChars="200"/>
        <w:rPr>
          <w:rFonts w:eastAsia="黑体"/>
          <w:sz w:val="32"/>
          <w:szCs w:val="32"/>
        </w:rPr>
      </w:pPr>
      <w:r>
        <w:rPr>
          <w:rFonts w:eastAsia="黑体"/>
          <w:sz w:val="32"/>
          <w:szCs w:val="32"/>
        </w:rPr>
        <w:t>三、技术应用</w:t>
      </w:r>
    </w:p>
    <w:p w14:paraId="7491C9A4">
      <w:pPr>
        <w:spacing w:line="580" w:lineRule="exact"/>
        <w:ind w:firstLine="632" w:firstLineChars="200"/>
        <w:rPr>
          <w:rFonts w:eastAsia="仿宋_GB2312"/>
          <w:sz w:val="32"/>
          <w:szCs w:val="32"/>
        </w:rPr>
      </w:pPr>
      <w:r>
        <w:rPr>
          <w:rFonts w:eastAsia="仿宋_GB2312"/>
          <w:color w:val="000000"/>
          <w:spacing w:val="-2"/>
          <w:kern w:val="32"/>
          <w:sz w:val="32"/>
          <w:szCs w:val="32"/>
        </w:rPr>
        <w:t>基地秸秆覆盖原则上应以</w:t>
      </w:r>
      <w:r>
        <w:rPr>
          <w:rFonts w:eastAsia="仿宋_GB2312"/>
          <w:spacing w:val="11"/>
          <w:sz w:val="32"/>
          <w:szCs w:val="32"/>
        </w:rPr>
        <w:t>玉米</w:t>
      </w:r>
      <w:r>
        <w:rPr>
          <w:rFonts w:eastAsia="仿宋_GB2312"/>
          <w:color w:val="000000"/>
          <w:spacing w:val="-2"/>
          <w:kern w:val="32"/>
          <w:sz w:val="32"/>
          <w:szCs w:val="32"/>
        </w:rPr>
        <w:t>秸秆大量覆盖还田（覆盖率60%以上）为主。</w:t>
      </w:r>
      <w:r>
        <w:rPr>
          <w:rFonts w:hint="eastAsia" w:eastAsia="仿宋_GB2312"/>
          <w:spacing w:val="-2"/>
          <w:kern w:val="32"/>
          <w:sz w:val="32"/>
          <w:szCs w:val="32"/>
        </w:rPr>
        <w:t>鼓励多采取免耕播种方式，免耕播种面积</w:t>
      </w:r>
      <w:r>
        <w:rPr>
          <w:rFonts w:eastAsia="仿宋_GB2312"/>
          <w:spacing w:val="-2"/>
          <w:kern w:val="32"/>
          <w:sz w:val="32"/>
          <w:szCs w:val="32"/>
        </w:rPr>
        <w:t>应</w:t>
      </w:r>
      <w:r>
        <w:rPr>
          <w:rFonts w:hint="eastAsia" w:eastAsia="仿宋_GB2312"/>
          <w:spacing w:val="-2"/>
          <w:kern w:val="32"/>
          <w:sz w:val="32"/>
          <w:szCs w:val="32"/>
        </w:rPr>
        <w:t>达到</w:t>
      </w:r>
      <w:r>
        <w:rPr>
          <w:rFonts w:eastAsia="仿宋_GB2312"/>
          <w:spacing w:val="-2"/>
          <w:kern w:val="32"/>
          <w:sz w:val="32"/>
          <w:szCs w:val="32"/>
        </w:rPr>
        <w:t>基地面积的30%</w:t>
      </w:r>
      <w:r>
        <w:rPr>
          <w:rFonts w:hint="eastAsia" w:eastAsia="仿宋_GB2312"/>
          <w:spacing w:val="-2"/>
          <w:kern w:val="32"/>
          <w:sz w:val="32"/>
          <w:szCs w:val="32"/>
        </w:rPr>
        <w:t>。</w:t>
      </w:r>
    </w:p>
    <w:p w14:paraId="1BF35A93">
      <w:pPr>
        <w:spacing w:line="580" w:lineRule="exact"/>
        <w:ind w:firstLine="640" w:firstLineChars="200"/>
        <w:rPr>
          <w:rFonts w:eastAsia="黑体"/>
          <w:sz w:val="32"/>
          <w:szCs w:val="32"/>
        </w:rPr>
      </w:pPr>
      <w:r>
        <w:rPr>
          <w:rFonts w:eastAsia="黑体"/>
          <w:sz w:val="32"/>
          <w:szCs w:val="32"/>
        </w:rPr>
        <w:t>四、技术保障</w:t>
      </w:r>
    </w:p>
    <w:p w14:paraId="5D58C01A">
      <w:pPr>
        <w:spacing w:line="580" w:lineRule="exact"/>
        <w:ind w:firstLine="640" w:firstLineChars="200"/>
        <w:rPr>
          <w:rFonts w:eastAsia="仿宋_GB2312"/>
          <w:sz w:val="32"/>
          <w:szCs w:val="32"/>
        </w:rPr>
      </w:pPr>
      <w:r>
        <w:rPr>
          <w:rFonts w:eastAsia="仿宋_GB2312"/>
          <w:sz w:val="32"/>
          <w:szCs w:val="32"/>
        </w:rPr>
        <w:t>以省、市、县级科研和推广单位为依托，</w:t>
      </w:r>
      <w:r>
        <w:rPr>
          <w:rFonts w:hint="eastAsia" w:eastAsia="仿宋_GB2312"/>
          <w:sz w:val="32"/>
          <w:szCs w:val="32"/>
        </w:rPr>
        <w:t>负责</w:t>
      </w:r>
      <w:r>
        <w:rPr>
          <w:rFonts w:eastAsia="仿宋_GB2312"/>
          <w:sz w:val="32"/>
          <w:szCs w:val="32"/>
        </w:rPr>
        <w:t>对基地</w:t>
      </w:r>
      <w:r>
        <w:rPr>
          <w:rFonts w:hint="eastAsia" w:eastAsia="仿宋_GB2312"/>
          <w:sz w:val="32"/>
          <w:szCs w:val="32"/>
        </w:rPr>
        <w:t>的</w:t>
      </w:r>
      <w:r>
        <w:rPr>
          <w:rFonts w:eastAsia="仿宋_GB2312"/>
          <w:sz w:val="32"/>
          <w:szCs w:val="32"/>
        </w:rPr>
        <w:t>技术</w:t>
      </w:r>
      <w:r>
        <w:rPr>
          <w:rFonts w:hint="eastAsia" w:eastAsia="仿宋_GB2312"/>
          <w:sz w:val="32"/>
          <w:szCs w:val="32"/>
        </w:rPr>
        <w:t>支撑</w:t>
      </w:r>
      <w:r>
        <w:rPr>
          <w:rFonts w:eastAsia="仿宋_GB2312"/>
          <w:sz w:val="32"/>
          <w:szCs w:val="32"/>
        </w:rPr>
        <w:t>服务</w:t>
      </w:r>
      <w:r>
        <w:rPr>
          <w:rFonts w:hint="eastAsia" w:eastAsia="仿宋_GB2312"/>
          <w:sz w:val="32"/>
          <w:szCs w:val="32"/>
        </w:rPr>
        <w:t>和监测数据采集分析</w:t>
      </w:r>
      <w:r>
        <w:rPr>
          <w:rFonts w:eastAsia="仿宋_GB2312"/>
          <w:sz w:val="32"/>
          <w:szCs w:val="32"/>
        </w:rPr>
        <w:t>。以适用性为基础，在模式选择、技术路线、指导应用、技术培训、宣传引导、应用效果监测等方面提供技术支撑和保障。加强对基地的技术指导，实行基地“1+1+2”技术指导方式，即每个基地配备1个技术支撑单位，1位技术指导专家，每位专家每年至少2次赴基地开展现场技术指导。</w:t>
      </w:r>
    </w:p>
    <w:p w14:paraId="4C500AEF">
      <w:pPr>
        <w:spacing w:line="580" w:lineRule="exact"/>
        <w:ind w:firstLine="640" w:firstLineChars="200"/>
        <w:rPr>
          <w:rFonts w:eastAsia="黑体"/>
          <w:sz w:val="32"/>
          <w:szCs w:val="32"/>
        </w:rPr>
      </w:pPr>
      <w:r>
        <w:rPr>
          <w:rFonts w:eastAsia="黑体"/>
          <w:sz w:val="32"/>
          <w:szCs w:val="32"/>
        </w:rPr>
        <w:t>五、建设目标</w:t>
      </w:r>
    </w:p>
    <w:p w14:paraId="1D0776D7">
      <w:pPr>
        <w:widowControl/>
        <w:spacing w:line="580" w:lineRule="exact"/>
        <w:ind w:firstLine="643" w:firstLineChars="200"/>
        <w:rPr>
          <w:rFonts w:eastAsia="仿宋_GB2312"/>
          <w:sz w:val="32"/>
          <w:szCs w:val="32"/>
        </w:rPr>
      </w:pPr>
      <w:r>
        <w:rPr>
          <w:rFonts w:eastAsia="仿宋_GB2312"/>
          <w:b/>
          <w:sz w:val="32"/>
          <w:szCs w:val="32"/>
        </w:rPr>
        <w:t>1.完善技术应用。</w:t>
      </w:r>
      <w:r>
        <w:rPr>
          <w:rFonts w:eastAsia="仿宋_GB2312"/>
          <w:sz w:val="32"/>
          <w:szCs w:val="32"/>
        </w:rPr>
        <w:t>明确适宜本区域的保护性耕作主推模式、技术路线和技术措施，制定完善相关技术方案、技术标准、操作规程等内容，有效指导技术应用。</w:t>
      </w:r>
    </w:p>
    <w:p w14:paraId="20431BF6">
      <w:pPr>
        <w:widowControl/>
        <w:spacing w:line="580" w:lineRule="exact"/>
        <w:ind w:firstLine="643" w:firstLineChars="200"/>
        <w:rPr>
          <w:rFonts w:eastAsia="仿宋_GB2312"/>
          <w:sz w:val="32"/>
          <w:szCs w:val="32"/>
        </w:rPr>
      </w:pPr>
      <w:r>
        <w:rPr>
          <w:rFonts w:eastAsia="仿宋_GB2312"/>
          <w:b/>
          <w:sz w:val="32"/>
          <w:szCs w:val="32"/>
        </w:rPr>
        <w:t>2.完善技术监测。</w:t>
      </w:r>
      <w:r>
        <w:rPr>
          <w:rFonts w:eastAsia="仿宋_GB2312"/>
          <w:sz w:val="32"/>
          <w:szCs w:val="32"/>
        </w:rPr>
        <w:t>持续开展耕地理化、生物性状、生产成本、作物产量、病虫草害、机具装备及技术适用性等情况的监测试验工作，优化技术措施，提升实施效果。</w:t>
      </w:r>
    </w:p>
    <w:p w14:paraId="22CDB287">
      <w:pPr>
        <w:widowControl/>
        <w:spacing w:line="560" w:lineRule="atLeast"/>
        <w:ind w:firstLine="643" w:firstLineChars="200"/>
        <w:rPr>
          <w:rFonts w:ascii="仿宋_GB2312" w:hAnsi="黑体" w:eastAsia="仿宋_GB2312" w:cs="黑体"/>
          <w:sz w:val="32"/>
          <w:szCs w:val="32"/>
        </w:rPr>
      </w:pPr>
      <w:r>
        <w:rPr>
          <w:rFonts w:eastAsia="仿宋_GB2312"/>
          <w:b/>
          <w:sz w:val="32"/>
          <w:szCs w:val="32"/>
        </w:rPr>
        <w:t>3.充分发挥示范功能和效果。</w:t>
      </w:r>
      <w:r>
        <w:rPr>
          <w:rFonts w:eastAsia="仿宋_GB2312"/>
          <w:sz w:val="32"/>
          <w:szCs w:val="32"/>
        </w:rPr>
        <w:t>打造集成果展示、指导培训、宣传推广、技术集成应用于一体的高标准保护性耕作示范应用基地，示范带动乡域保护性耕作高标准高质量发展。</w:t>
      </w:r>
      <w:r>
        <w:rPr>
          <w:rFonts w:eastAsia="仿宋_GB2312"/>
          <w:color w:val="000000"/>
          <w:spacing w:val="-2"/>
          <w:kern w:val="32"/>
          <w:sz w:val="32"/>
          <w:szCs w:val="32"/>
        </w:rPr>
        <w:br w:type="page"/>
      </w:r>
      <w:r>
        <w:rPr>
          <w:rFonts w:hint="eastAsia" w:ascii="仿宋_GB2312" w:hAnsi="黑体" w:eastAsia="仿宋_GB2312" w:cs="黑体"/>
          <w:sz w:val="32"/>
          <w:szCs w:val="32"/>
        </w:rPr>
        <w:t>附件4</w:t>
      </w:r>
    </w:p>
    <w:p w14:paraId="086326C4">
      <w:pPr>
        <w:adjustRightInd w:val="0"/>
        <w:snapToGrid w:val="0"/>
        <w:spacing w:line="560" w:lineRule="atLeast"/>
        <w:jc w:val="center"/>
        <w:rPr>
          <w:rFonts w:hint="eastAsia"/>
          <w:b/>
          <w:bCs/>
          <w:sz w:val="44"/>
          <w:szCs w:val="44"/>
        </w:rPr>
      </w:pPr>
    </w:p>
    <w:p w14:paraId="61D4DF81">
      <w:pPr>
        <w:adjustRightInd w:val="0"/>
        <w:snapToGrid w:val="0"/>
        <w:spacing w:line="560" w:lineRule="atLeast"/>
        <w:jc w:val="center"/>
        <w:rPr>
          <w:b/>
          <w:bCs/>
          <w:sz w:val="44"/>
          <w:szCs w:val="44"/>
        </w:rPr>
      </w:pPr>
      <w:r>
        <w:rPr>
          <w:rFonts w:hint="eastAsia"/>
          <w:b/>
          <w:bCs/>
          <w:sz w:val="44"/>
          <w:szCs w:val="44"/>
        </w:rPr>
        <w:t>沈阳市</w:t>
      </w:r>
      <w:r>
        <w:rPr>
          <w:b/>
          <w:bCs/>
          <w:sz w:val="44"/>
          <w:szCs w:val="44"/>
        </w:rPr>
        <w:t>保护性耕作专家指导组成员名单</w:t>
      </w:r>
    </w:p>
    <w:p w14:paraId="1F84EF88">
      <w:pPr>
        <w:spacing w:line="560" w:lineRule="atLeast"/>
        <w:ind w:firstLine="645"/>
        <w:jc w:val="left"/>
        <w:rPr>
          <w:rFonts w:eastAsia="仿宋_GB2312"/>
          <w:sz w:val="32"/>
          <w:szCs w:val="32"/>
        </w:rPr>
      </w:pPr>
    </w:p>
    <w:p w14:paraId="6F5B9E56">
      <w:pPr>
        <w:spacing w:line="560" w:lineRule="atLeast"/>
        <w:ind w:firstLine="645"/>
        <w:jc w:val="left"/>
        <w:rPr>
          <w:rFonts w:eastAsia="黑体"/>
        </w:rPr>
      </w:pPr>
    </w:p>
    <w:p w14:paraId="0EBB35BA">
      <w:pPr>
        <w:spacing w:line="560" w:lineRule="atLeast"/>
        <w:ind w:left="645"/>
        <w:jc w:val="left"/>
        <w:rPr>
          <w:rFonts w:eastAsia="黑体"/>
          <w:sz w:val="32"/>
          <w:szCs w:val="32"/>
        </w:rPr>
      </w:pPr>
      <w:r>
        <w:rPr>
          <w:rFonts w:eastAsia="黑体"/>
          <w:sz w:val="32"/>
          <w:szCs w:val="32"/>
        </w:rPr>
        <w:t>专家组成员</w:t>
      </w:r>
    </w:p>
    <w:p w14:paraId="141F0D58">
      <w:pPr>
        <w:spacing w:line="560" w:lineRule="atLeast"/>
        <w:ind w:left="645"/>
        <w:jc w:val="left"/>
        <w:rPr>
          <w:rFonts w:eastAsia="黑体"/>
          <w:sz w:val="32"/>
          <w:szCs w:val="32"/>
        </w:rPr>
      </w:pPr>
      <w:r>
        <w:rPr>
          <w:rFonts w:eastAsia="黑体"/>
          <w:sz w:val="32"/>
          <w:szCs w:val="32"/>
        </w:rPr>
        <w:t>组  长：</w:t>
      </w:r>
      <w:r>
        <w:rPr>
          <w:rFonts w:hint="eastAsia" w:eastAsia="仿宋_GB2312"/>
          <w:sz w:val="32"/>
          <w:szCs w:val="32"/>
        </w:rPr>
        <w:t>高希君</w:t>
      </w:r>
      <w:r>
        <w:rPr>
          <w:rFonts w:eastAsia="仿宋_GB2312"/>
          <w:sz w:val="32"/>
          <w:szCs w:val="32"/>
        </w:rPr>
        <w:t xml:space="preserve">  省农业机械化研究所研究员</w:t>
      </w:r>
    </w:p>
    <w:p w14:paraId="2087451E">
      <w:pPr>
        <w:spacing w:line="560" w:lineRule="atLeast"/>
        <w:ind w:left="645"/>
        <w:jc w:val="left"/>
        <w:rPr>
          <w:rFonts w:eastAsia="黑体"/>
          <w:sz w:val="32"/>
          <w:szCs w:val="32"/>
        </w:rPr>
      </w:pPr>
      <w:r>
        <w:rPr>
          <w:rFonts w:eastAsia="黑体"/>
          <w:sz w:val="32"/>
          <w:szCs w:val="32"/>
        </w:rPr>
        <w:t>副组长：</w:t>
      </w:r>
      <w:r>
        <w:rPr>
          <w:rFonts w:hint="eastAsia" w:eastAsia="仿宋_GB2312"/>
          <w:spacing w:val="-6"/>
          <w:sz w:val="32"/>
          <w:szCs w:val="32"/>
        </w:rPr>
        <w:t xml:space="preserve">徐  鹏  </w:t>
      </w:r>
      <w:r>
        <w:rPr>
          <w:rFonts w:eastAsia="仿宋_GB2312"/>
          <w:sz w:val="32"/>
          <w:szCs w:val="32"/>
        </w:rPr>
        <w:t>省农业机械化研究所研究员</w:t>
      </w:r>
    </w:p>
    <w:p w14:paraId="55AE2040">
      <w:pPr>
        <w:spacing w:line="560" w:lineRule="atLeast"/>
        <w:ind w:firstLine="640" w:firstLineChars="200"/>
        <w:jc w:val="left"/>
        <w:rPr>
          <w:rFonts w:eastAsia="仿宋_GB2312"/>
          <w:spacing w:val="-6"/>
          <w:sz w:val="32"/>
          <w:szCs w:val="32"/>
        </w:rPr>
      </w:pPr>
      <w:r>
        <w:rPr>
          <w:rFonts w:eastAsia="黑体"/>
          <w:sz w:val="32"/>
          <w:szCs w:val="32"/>
        </w:rPr>
        <w:t>成  员：</w:t>
      </w:r>
      <w:r>
        <w:rPr>
          <w:rFonts w:hint="eastAsia" w:eastAsia="仿宋_GB2312"/>
          <w:spacing w:val="-6"/>
          <w:sz w:val="32"/>
          <w:szCs w:val="32"/>
        </w:rPr>
        <w:t>姚煜冬  沈阳市农科院</w:t>
      </w:r>
      <w:r>
        <w:rPr>
          <w:rFonts w:eastAsia="仿宋_GB2312"/>
          <w:spacing w:val="-6"/>
          <w:sz w:val="32"/>
          <w:szCs w:val="32"/>
        </w:rPr>
        <w:t>研究员</w:t>
      </w:r>
    </w:p>
    <w:p w14:paraId="000FBA50">
      <w:pPr>
        <w:spacing w:line="560" w:lineRule="atLeast"/>
        <w:ind w:left="3147" w:leftChars="912" w:hanging="1232" w:hangingChars="400"/>
        <w:jc w:val="left"/>
        <w:rPr>
          <w:rFonts w:eastAsia="仿宋_GB2312"/>
          <w:sz w:val="32"/>
          <w:szCs w:val="32"/>
        </w:rPr>
      </w:pPr>
      <w:r>
        <w:rPr>
          <w:rFonts w:hint="eastAsia" w:eastAsia="仿宋_GB2312"/>
          <w:spacing w:val="-6"/>
          <w:sz w:val="32"/>
          <w:szCs w:val="32"/>
        </w:rPr>
        <w:t>王瑞丽</w:t>
      </w:r>
      <w:r>
        <w:rPr>
          <w:rFonts w:eastAsia="仿宋_GB2312"/>
          <w:sz w:val="32"/>
          <w:szCs w:val="32"/>
        </w:rPr>
        <w:t xml:space="preserve">  沈阳农业大学教授</w:t>
      </w:r>
    </w:p>
    <w:p w14:paraId="6742D4CE">
      <w:pPr>
        <w:pStyle w:val="2"/>
        <w:spacing w:line="560" w:lineRule="atLeast"/>
      </w:pPr>
      <w:r>
        <w:rPr>
          <w:rFonts w:hint="eastAsia" w:eastAsia="仿宋_GB2312"/>
        </w:rPr>
        <w:t xml:space="preserve">            崔  涛  沈阳市乡村振兴发展中心研究员</w:t>
      </w:r>
    </w:p>
    <w:p w14:paraId="1F5C3640"/>
    <w:p w14:paraId="461E3F9D">
      <w:pPr>
        <w:pStyle w:val="2"/>
        <w:rPr>
          <w:rFonts w:hint="eastAsia"/>
        </w:rPr>
      </w:pPr>
    </w:p>
    <w:sectPr>
      <w:footerReference r:id="rId3" w:type="default"/>
      <w:pgSz w:w="11906" w:h="16838"/>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9A1B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608B9">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1F3608B9">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1BA29"/>
    <w:multiLevelType w:val="singleLevel"/>
    <w:tmpl w:val="FC21BA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ZGNjYjdhMzA3Mzg0ZTgwMTZjNjA5NzYzMWQzZDYifQ=="/>
  </w:docVars>
  <w:rsids>
    <w:rsidRoot w:val="00B55784"/>
    <w:rsid w:val="0004519A"/>
    <w:rsid w:val="00051CE3"/>
    <w:rsid w:val="00114FE6"/>
    <w:rsid w:val="00203220"/>
    <w:rsid w:val="00214FD9"/>
    <w:rsid w:val="00263837"/>
    <w:rsid w:val="002F2125"/>
    <w:rsid w:val="00326A1D"/>
    <w:rsid w:val="00360201"/>
    <w:rsid w:val="004672BD"/>
    <w:rsid w:val="004F1842"/>
    <w:rsid w:val="0050611F"/>
    <w:rsid w:val="00520CE8"/>
    <w:rsid w:val="00605019"/>
    <w:rsid w:val="007457CC"/>
    <w:rsid w:val="00812C90"/>
    <w:rsid w:val="00856A20"/>
    <w:rsid w:val="00872F37"/>
    <w:rsid w:val="00B40B96"/>
    <w:rsid w:val="00B55784"/>
    <w:rsid w:val="00C6543F"/>
    <w:rsid w:val="00D326E5"/>
    <w:rsid w:val="00DF67BB"/>
    <w:rsid w:val="010B1937"/>
    <w:rsid w:val="045E1BB5"/>
    <w:rsid w:val="0BF202F5"/>
    <w:rsid w:val="0D9E434B"/>
    <w:rsid w:val="0E0270D8"/>
    <w:rsid w:val="0F503B7F"/>
    <w:rsid w:val="13845B25"/>
    <w:rsid w:val="13FB1FCC"/>
    <w:rsid w:val="14EC7A3C"/>
    <w:rsid w:val="17DC5EA9"/>
    <w:rsid w:val="185C02E6"/>
    <w:rsid w:val="20F120AD"/>
    <w:rsid w:val="269964B4"/>
    <w:rsid w:val="283F761B"/>
    <w:rsid w:val="292A7EB8"/>
    <w:rsid w:val="2AFA50E7"/>
    <w:rsid w:val="33722047"/>
    <w:rsid w:val="3497020A"/>
    <w:rsid w:val="3C767888"/>
    <w:rsid w:val="3F47466E"/>
    <w:rsid w:val="445A6689"/>
    <w:rsid w:val="48C74EB4"/>
    <w:rsid w:val="4AF62C56"/>
    <w:rsid w:val="4B430473"/>
    <w:rsid w:val="4E020A23"/>
    <w:rsid w:val="4EB619B5"/>
    <w:rsid w:val="4FE83271"/>
    <w:rsid w:val="520A1DF2"/>
    <w:rsid w:val="54D45C4D"/>
    <w:rsid w:val="55476B4B"/>
    <w:rsid w:val="55D020B7"/>
    <w:rsid w:val="56490513"/>
    <w:rsid w:val="6F31757B"/>
    <w:rsid w:val="72B43777"/>
    <w:rsid w:val="776E2A63"/>
    <w:rsid w:val="79C212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3"/>
    <w:autoRedefine/>
    <w:unhideWhenUsed/>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6">
    <w:name w:val="Normal Indent"/>
    <w:basedOn w:val="1"/>
    <w:qFormat/>
    <w:uiPriority w:val="0"/>
    <w:pPr>
      <w:adjustRightInd w:val="0"/>
      <w:spacing w:line="360" w:lineRule="auto"/>
      <w:ind w:firstLine="200" w:firstLineChars="200"/>
      <w:jc w:val="left"/>
      <w:textAlignment w:val="baseline"/>
    </w:pPr>
    <w:rPr>
      <w:rFonts w:ascii="宋体" w:hAnsi="宋体"/>
      <w:kern w:val="0"/>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3 Char"/>
    <w:basedOn w:val="12"/>
    <w:link w:val="5"/>
    <w:qFormat/>
    <w:uiPriority w:val="0"/>
    <w:rPr>
      <w:b/>
      <w:bCs/>
      <w:kern w:val="2"/>
      <w:sz w:val="32"/>
      <w:szCs w:val="32"/>
    </w:rPr>
  </w:style>
  <w:style w:type="table" w:customStyle="1" w:styleId="14">
    <w:name w:val="Table Normal"/>
    <w:unhideWhenUsed/>
    <w:qFormat/>
    <w:uiPriority w:val="0"/>
    <w:tblPr>
      <w:tblCellMar>
        <w:top w:w="0" w:type="dxa"/>
        <w:left w:w="0" w:type="dxa"/>
        <w:bottom w:w="0" w:type="dxa"/>
        <w:right w:w="0" w:type="dxa"/>
      </w:tblCellMar>
    </w:tbl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9283</Words>
  <Characters>9490</Characters>
  <Lines>4</Lines>
  <Paragraphs>1</Paragraphs>
  <TotalTime>3</TotalTime>
  <ScaleCrop>false</ScaleCrop>
  <LinksUpToDate>false</LinksUpToDate>
  <CharactersWithSpaces>9521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2019-02-14T06:56:00Z</dcterms:created>
  <dc:creator>User</dc:creator>
  <cp:lastModifiedBy>杨洋</cp:lastModifiedBy>
  <cp:lastPrinted>2025-07-04T08:41:00Z</cp:lastPrinted>
  <dcterms:modified xsi:type="dcterms:W3CDTF">2025-07-14T06:59:10Z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104115E0BD804AB5A692E6BE65A63E8D_13</vt:lpwstr>
  </property>
  <property fmtid="{D5CDD505-2E9C-101B-9397-08002B2CF9AE}" pid="4" name="KSOTemplateDocerSaveRecord">
    <vt:lpwstr>eyJoZGlkIjoiNzZiZTQ3ZmI1OTFmODUzNzgwMGRlNDBmMWZiZDQzMjEiLCJ1c2VySWQiOiIyMzQ0MjI2NjQifQ==</vt:lpwstr>
  </property>
</Properties>
</file>