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5D0B6">
      <w:pPr>
        <w:spacing w:line="36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附件3：</w:t>
      </w:r>
    </w:p>
    <w:p w14:paraId="30B30E1B">
      <w:pPr>
        <w:spacing w:line="400" w:lineRule="exact"/>
        <w:rPr>
          <w:rFonts w:hint="eastAsia" w:ascii="黑体" w:hAnsi="黑体" w:eastAsia="黑体" w:cs="黑体"/>
          <w:sz w:val="32"/>
          <w:szCs w:val="32"/>
        </w:rPr>
      </w:pPr>
    </w:p>
    <w:p w14:paraId="088F6700">
      <w:pPr>
        <w:spacing w:line="360" w:lineRule="auto"/>
        <w:jc w:val="center"/>
        <w:rPr>
          <w:rFonts w:hint="eastAsia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  <w:t>烟草专卖涉企行政检查频次上限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7"/>
        <w:gridCol w:w="9427"/>
      </w:tblGrid>
      <w:tr w14:paraId="45A3D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E1BEC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检查对象</w:t>
            </w:r>
          </w:p>
        </w:tc>
        <w:tc>
          <w:tcPr>
            <w:tcW w:w="9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8F50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年度检查频次上限</w:t>
            </w:r>
          </w:p>
        </w:tc>
      </w:tr>
      <w:tr w14:paraId="266C5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2CB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烟草专卖品生产经营企业</w:t>
            </w:r>
          </w:p>
        </w:tc>
        <w:tc>
          <w:tcPr>
            <w:tcW w:w="9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3B1D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烟草专卖执法检查6次；产品质量检查4次。</w:t>
            </w:r>
          </w:p>
        </w:tc>
      </w:tr>
      <w:tr w14:paraId="143C1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7EE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烟草专卖品批发企业</w:t>
            </w:r>
          </w:p>
        </w:tc>
        <w:tc>
          <w:tcPr>
            <w:tcW w:w="9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A03B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烟草专卖执法检查6次；产品质量检查4次。</w:t>
            </w:r>
          </w:p>
        </w:tc>
      </w:tr>
      <w:tr w14:paraId="1A9C1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95E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烟草制品零售经营主体</w:t>
            </w:r>
          </w:p>
        </w:tc>
        <w:tc>
          <w:tcPr>
            <w:tcW w:w="9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704D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无违法违规行为、信用状况良好的守信经营主体，1次；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存在轻微违法行为、信用状况一般的经营主体，2次；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存在一般违法行为、信用状况较差的经营主体，4次；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存在严重违法行为、信用状况差的经营主体，6次。</w:t>
            </w:r>
          </w:p>
        </w:tc>
      </w:tr>
      <w:tr w14:paraId="30986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3F2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电子烟等新型烟草制品相关生产经营企业</w:t>
            </w:r>
          </w:p>
        </w:tc>
        <w:tc>
          <w:tcPr>
            <w:tcW w:w="9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ED0F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自上一年度以来未因违法经营电子烟相关业务被行政处罚、未因违反电子烟监管政策被行政处理的，4次；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自上一年度以来因违法经营电子烟相关业务被行政处罚的，或因违反电子烟监管政策被行政处理（包括但不限于监管谈话、责令整改、中止平台交易资格等）的，或最近一次延续（换证）核准有效期不超过1年的，6次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产品质量检查6次。</w:t>
            </w:r>
          </w:p>
        </w:tc>
      </w:tr>
      <w:tr w14:paraId="44789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40B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电子烟等新型烟草制品批发企业</w:t>
            </w:r>
          </w:p>
        </w:tc>
        <w:tc>
          <w:tcPr>
            <w:tcW w:w="9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6EFB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烟草专卖执法检查6次；产品质量检查4次。</w:t>
            </w:r>
          </w:p>
        </w:tc>
      </w:tr>
      <w:tr w14:paraId="77DE7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20D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电子烟等新型烟草制品零售经营主体</w:t>
            </w:r>
          </w:p>
        </w:tc>
        <w:tc>
          <w:tcPr>
            <w:tcW w:w="9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D538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无违法违规行为、信用状况良好的守信经营主体，1次；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存在轻微违法行为、信用状况一般的经营主体，2次；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存在一般违法行为、信用状况较差的经营主体，4次；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存在严重违法行为、信用状况差的经营主体，6次。</w:t>
            </w:r>
          </w:p>
        </w:tc>
      </w:tr>
      <w:tr w14:paraId="07239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60FE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对各类检查对象，通过投诉举报、转办交办、数据监测等方式发现的涉烟违法违规线索实施行政检查，或者应企业申请实施行政检查的，可以不受频次上限限制。</w:t>
            </w:r>
          </w:p>
        </w:tc>
      </w:tr>
    </w:tbl>
    <w:p w14:paraId="43F0CE4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3226E"/>
    <w:rsid w:val="4E43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2025-12-24T02:19:00Z</dcterms:created>
  <dc:creator>杨洋</dc:creator>
  <cp:lastModifiedBy>杨洋</cp:lastModifiedBy>
  <dcterms:modified xsi:type="dcterms:W3CDTF">2025-12-24T02:19:30Z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FE2EC4B58A304A5D845C5DB6A263F5F9_11</vt:lpwstr>
  </property>
  <property fmtid="{D5CDD505-2E9C-101B-9397-08002B2CF9AE}" pid="4" name="KSOTemplateDocerSaveRecord">
    <vt:lpwstr>eyJoZGlkIjoiNzZiZTQ3ZmI1OTFmODUzNzgwMGRlNDBmMWZiZDQzMjEiLCJ1c2VySWQiOiIyMzQ0MjI2NjQifQ==</vt:lpwstr>
  </property>
</Properties>
</file>