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5C5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附件1：</w:t>
      </w:r>
    </w:p>
    <w:p w14:paraId="76D0E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浑南区疏导区设置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导则</w:t>
      </w:r>
      <w:bookmarkEnd w:id="0"/>
    </w:p>
    <w:p w14:paraId="02B016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FC79E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为进一步强化流动摊贩管理，整治占道经营行为，以提升市容秩序、保障民生需求为核心，推动流动商贩规范化经营，实现“市容整洁有序、民生服务便利”的双赢目标。结合我区实际，制定本导则。</w:t>
      </w:r>
    </w:p>
    <w:p w14:paraId="38745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一、适用范围</w:t>
      </w:r>
    </w:p>
    <w:p w14:paraId="32846A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本指导意见适用于浑南区设置流动商贩疏导区的相关工作，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疏导区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设点、日常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运行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管理和撤销等。</w:t>
      </w:r>
    </w:p>
    <w:p w14:paraId="3B4799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二、设置原则</w:t>
      </w:r>
    </w:p>
    <w:p w14:paraId="17C34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（一）选址基本原则</w:t>
      </w:r>
    </w:p>
    <w:p w14:paraId="3A6E0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“四不原则”，即：不影响通行、不占压盲道、不露天烧烤、不垃圾落地，因地制宜，适度引导流动商贩和沿街商户规范经营。充分利用闲置场地，引导入场经营。结合时令蔬菜上市、生活必需品售卖需求，在满足管理条件的前提下，在背街小巷人行道可设置疏导区，按时撤市并恢复卫生环境秩序。</w:t>
      </w:r>
    </w:p>
    <w:p w14:paraId="62E61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（二）禁止设置区域</w:t>
      </w:r>
    </w:p>
    <w:p w14:paraId="105011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1.主次干道、党政机关、事业单位、景区景点沿线及周边；</w:t>
      </w:r>
    </w:p>
    <w:p w14:paraId="262A2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2.城市核心商业区、中央商务区、学校、幼儿园、交通枢纽、地铁口、城市广场、公园等门前或周边50米范围内；</w:t>
      </w:r>
    </w:p>
    <w:p w14:paraId="3397DD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3.占压盲道、消防通道或应急救援通道的区域；</w:t>
      </w:r>
    </w:p>
    <w:p w14:paraId="41681D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（三）优先设置区域</w:t>
      </w:r>
    </w:p>
    <w:p w14:paraId="204D4A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1.背街小巷人行道：宽度≥4米（设置后行人通行宽度≥2米）；</w:t>
      </w:r>
    </w:p>
    <w:p w14:paraId="047D6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2.闲置场地；</w:t>
      </w:r>
    </w:p>
    <w:p w14:paraId="449FE8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3.非重点支路巷路：人流集中但不影响主干道通行的居民区周边支路；</w:t>
      </w:r>
    </w:p>
    <w:p w14:paraId="4AFE6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4.“潮汐式”疏导区：居民区附近时段性人流密集的背街小巷（如早、中、晚高峰人流集中区）。</w:t>
      </w:r>
    </w:p>
    <w:p w14:paraId="32AEB5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（四）疏导区分类</w:t>
      </w:r>
    </w:p>
    <w:p w14:paraId="59E695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疏导区设置可分两类：一类为全时段疏导区，此类疏导区聚焦15分钟便民生活圈、占道商贩聚集区，在居民聚集度高、公共服务设施不足的小区周边，进行布局，以便民和消化原有占道商贩为目标，打造民生服务场景；另一类为“潮汐式”疏导区，避开学校等人员密集场所主出入口，选择背街小巷，限定时段进行设置，实现“还路于民”与“保就业促消费”动态平衡。</w:t>
      </w:r>
    </w:p>
    <w:p w14:paraId="4F528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三、管理规范</w:t>
      </w:r>
    </w:p>
    <w:p w14:paraId="7F04F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按照“一域一策”的原则，明确疏导区的经营范围、运行时间、营业规范要求、监管制度，并建立退出机制。</w:t>
      </w:r>
    </w:p>
    <w:p w14:paraId="702C9C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（一）区域设置要求</w:t>
      </w:r>
    </w:p>
    <w:p w14:paraId="509FB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1.明确疏导区设置区域范围，确定经营边界和摊位大小。疏导区设置不得跨越盲道，确保行人通行宽度≥2米。</w:t>
      </w:r>
    </w:p>
    <w:p w14:paraId="0ABCB3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疏导区运行时间根据分类设定，全时段疏导区根据所属地区需求，自行设定经营时间；“潮汐式”疏导区可分三个时段进行运行，一是上午4时至8时，二是中午11时30分至13时，三是晚间17时至22时，具体运行时间街道办事处可根据实际情况设定。</w:t>
      </w:r>
    </w:p>
    <w:p w14:paraId="4FB4AD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sz w:val="32"/>
          <w:szCs w:val="32"/>
          <w:lang w:val="en-US" w:eastAsia="zh-CN"/>
        </w:rPr>
        <w:t>（二）经营行为规范</w:t>
      </w:r>
    </w:p>
    <w:p w14:paraId="01E0B0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1.商户准入要求</w:t>
      </w:r>
    </w:p>
    <w:p w14:paraId="4D1BB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流动商贩需向街道办事处提交申请，签订《规范经营承诺书》，明确“承诺安全经营，不露天烧烤、不超范围经营、不遗留垃圾”等责任，经审核通过后进入疏导区经营。</w:t>
      </w:r>
    </w:p>
    <w:p w14:paraId="6A71DB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2.日常经营要求</w:t>
      </w:r>
    </w:p>
    <w:p w14:paraId="75BCC9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（1）禁止使用喇叭招揽顾客；</w:t>
      </w:r>
    </w:p>
    <w:p w14:paraId="2D6BE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（2）自备垃圾收纳容器，经营期间随时清理摊位周边垃圾；</w:t>
      </w:r>
    </w:p>
    <w:p w14:paraId="5A5BF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（3）“潮汐式”疏导区结束后，需立即撤离并清扫地面（确保地面无油污、无杂物）。</w:t>
      </w:r>
    </w:p>
    <w:p w14:paraId="7A1EA7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3.违规处理及退出机制</w:t>
      </w:r>
    </w:p>
    <w:p w14:paraId="7B152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对经营业户采取首次违规口头警告+限期整改；二次违规暂停经营资格3天；三次违规取消疏导区经营资格。对取消疏导区经营资格的业户，6个月内不允许再次进入疏导区经营。</w:t>
      </w:r>
    </w:p>
    <w:p w14:paraId="4AB56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 w:firstLine="320" w:firstLineChars="1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四、相关要求</w:t>
      </w:r>
    </w:p>
    <w:p w14:paraId="7FA15E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各部门要按照“街道吹哨，部门报到”原则，按照各自职责，积极配合街道办事处开展疏导区管理工作，形成齐抓共管的良好格局。</w:t>
      </w:r>
    </w:p>
    <w:p w14:paraId="7E416C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1.区城管局要做好疏导区以外公共区域的环境卫生清运及保洁工作，保障周边环境整洁，与疏导区内环境卫生管理形成有效衔接，并做好街道办事处疏导区备案工作。</w:t>
      </w:r>
    </w:p>
    <w:p w14:paraId="32D62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2.区执法分局要协助街道办事处做好疏导区选址及日常管理工作。利用“柔性执法”场景对多次记录、屡教不改，严重影响市容环境的，依法依规开展执法处罚工作。</w:t>
      </w:r>
    </w:p>
    <w:p w14:paraId="0D1B8F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区市场监管局要做好疏导区内食品摊贩的日常监管，定期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快速抽检食用农产品，严把食品安全关；同时监督明码标价执行情况，规范计量器具使用，严厉查处哄抬物价、短斤缺两等违法行为。</w:t>
      </w:r>
    </w:p>
    <w:p w14:paraId="237A32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4.街道办事处牵头做好疏导区选址、审批、日常运行管理、安全生产、撤销、信访稳定等工作；及时将审批的疏导区报送至区城管局备案；对符合条件的可引入第三方进行市场化运作。</w:t>
      </w:r>
    </w:p>
    <w:p w14:paraId="1563DDA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1D1E7E"/>
    <w:rsid w:val="0F1D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2025-12-30T07:41:00Z</dcterms:created>
  <dc:creator>杨洋</dc:creator>
  <cp:lastModifiedBy>杨洋</cp:lastModifiedBy>
  <dcterms:modified xsi:type="dcterms:W3CDTF">2025-12-30T07:42:39Z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01D1DBADCF564AAF83A66ED6A4B156F0_11</vt:lpwstr>
  </property>
  <property fmtid="{D5CDD505-2E9C-101B-9397-08002B2CF9AE}" pid="4" name="KSOTemplateDocerSaveRecord">
    <vt:lpwstr>eyJoZGlkIjoiNzZiZTQ3ZmI1OTFmODUzNzgwMGRlNDBmMWZiZDQzMjEiLCJ1c2VySWQiOiIyMzQ0MjI2NjQifQ==</vt:lpwstr>
  </property>
</Properties>
</file>