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A9A7F">
      <w:pPr>
        <w:jc w:val="center"/>
        <w:rPr>
          <w:rFonts w:hint="eastAsia" w:ascii="仿宋_GB2312" w:eastAsia="仿宋_GB2312"/>
          <w:sz w:val="32"/>
          <w:szCs w:val="32"/>
        </w:rPr>
      </w:pPr>
    </w:p>
    <w:p w14:paraId="4ABC0E75">
      <w:pPr>
        <w:jc w:val="center"/>
        <w:rPr>
          <w:rFonts w:hint="eastAsia" w:ascii="仿宋_GB2312" w:eastAsia="仿宋_GB2312"/>
          <w:sz w:val="32"/>
          <w:szCs w:val="32"/>
        </w:rPr>
      </w:pPr>
    </w:p>
    <w:p w14:paraId="75EF4FF1"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121920</wp:posOffset>
                </wp:positionV>
                <wp:extent cx="1153160" cy="17722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160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0DAF9">
                            <w:pPr>
                              <w:jc w:val="left"/>
                              <w:rPr>
                                <w:b/>
                                <w:color w:val="FF0000"/>
                                <w:spacing w:val="-16"/>
                                <w:w w:val="65"/>
                                <w:kern w:val="30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6"/>
                                <w:w w:val="65"/>
                                <w:kern w:val="30"/>
                                <w:sz w:val="110"/>
                                <w:szCs w:val="110"/>
                              </w:rPr>
                              <w:t>文件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343.5pt;margin-top:9.6pt;height:139.55pt;width:90.8pt;z-index:251660288;mso-width-relative:page;mso-height-relative:margin;mso-height-percent:200;" filled="f" stroked="f" coordsize="21600,21600" o:gfxdata="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E7xi72AAAAAoBAAAPAAAAAAAAAAEAIAAAACIAAABkcnMvZG93bnJldi54bWxQSwECFAAU&#10;AAAACACHTuJAmM6wcbgBAABp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D70DAF9">
                      <w:pPr>
                        <w:jc w:val="left"/>
                        <w:rPr>
                          <w:b/>
                          <w:color w:val="FF0000"/>
                          <w:spacing w:val="-16"/>
                          <w:w w:val="65"/>
                          <w:kern w:val="30"/>
                          <w:sz w:val="110"/>
                          <w:szCs w:val="110"/>
                        </w:rPr>
                      </w:pPr>
                      <w:r>
                        <w:rPr>
                          <w:b/>
                          <w:color w:val="FF0000"/>
                          <w:spacing w:val="-16"/>
                          <w:w w:val="65"/>
                          <w:kern w:val="30"/>
                          <w:sz w:val="110"/>
                          <w:szCs w:val="110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114300</wp:posOffset>
                </wp:positionV>
                <wp:extent cx="4579620" cy="177228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620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480DD3">
                            <w:pPr>
                              <w:jc w:val="distribute"/>
                              <w:rPr>
                                <w:b/>
                                <w:color w:val="FF0000"/>
                                <w:spacing w:val="-2"/>
                                <w:w w:val="55"/>
                                <w:kern w:val="30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2"/>
                                <w:w w:val="55"/>
                                <w:kern w:val="30"/>
                                <w:sz w:val="110"/>
                                <w:szCs w:val="110"/>
                              </w:rPr>
                              <w:t>沈阳市浑南区农业农村局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15.5pt;margin-top:9pt;height:139.55pt;width:360.6pt;z-index:251659264;mso-width-relative:page;mso-height-relative:margin;mso-height-percent:200;" filled="f" stroked="f" coordsize="21600,21600" o:gfxdata="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IX+vENgAAAAKAQAADwAAAAAAAAABACAAAAAiAAAAZHJzL2Rvd25yZXYueG1sUEsBAhQA&#10;FAAAAAgAh07iQCGTeqO5AQAAaQ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45480DD3">
                      <w:pPr>
                        <w:jc w:val="distribute"/>
                        <w:rPr>
                          <w:b/>
                          <w:color w:val="FF0000"/>
                          <w:spacing w:val="-2"/>
                          <w:w w:val="55"/>
                          <w:kern w:val="30"/>
                          <w:sz w:val="110"/>
                          <w:szCs w:val="110"/>
                        </w:rPr>
                      </w:pPr>
                      <w:r>
                        <w:rPr>
                          <w:b/>
                          <w:color w:val="FF0000"/>
                          <w:spacing w:val="-2"/>
                          <w:w w:val="55"/>
                          <w:kern w:val="30"/>
                          <w:sz w:val="110"/>
                          <w:szCs w:val="110"/>
                        </w:rPr>
                        <w:t>沈阳市浑南区农业农村局</w:t>
                      </w:r>
                    </w:p>
                  </w:txbxContent>
                </v:textbox>
              </v:shape>
            </w:pict>
          </mc:Fallback>
        </mc:AlternateContent>
      </w:r>
    </w:p>
    <w:p w14:paraId="65329AA1">
      <w:pPr>
        <w:jc w:val="center"/>
        <w:rPr>
          <w:rFonts w:hint="eastAsia" w:ascii="仿宋_GB2312" w:eastAsia="仿宋_GB2312"/>
          <w:sz w:val="32"/>
          <w:szCs w:val="32"/>
        </w:rPr>
      </w:pPr>
    </w:p>
    <w:p w14:paraId="4CFD1068">
      <w:pPr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8755" w:type="dxa"/>
        <w:jc w:val="center"/>
        <w:tblBorders>
          <w:top w:val="none" w:color="auto" w:sz="0" w:space="0"/>
          <w:left w:val="none" w:color="auto" w:sz="0" w:space="0"/>
          <w:bottom w:val="single" w:color="FF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4D77D7E9">
        <w:tblPrEx>
          <w:tblBorders>
            <w:top w:val="none" w:color="auto" w:sz="0" w:space="0"/>
            <w:left w:val="none" w:color="auto" w:sz="0" w:space="0"/>
            <w:bottom w:val="single" w:color="FF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755" w:type="dxa"/>
            <w:tcBorders>
              <w:bottom w:val="single" w:color="FF0000" w:sz="18" w:space="0"/>
            </w:tcBorders>
            <w:noWrap w:val="0"/>
            <w:vAlign w:val="top"/>
          </w:tcPr>
          <w:p w14:paraId="2B6A41D5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沈浑农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发</w:t>
            </w:r>
            <w:r>
              <w:rPr>
                <w:rFonts w:hint="eastAsia" w:ascii="仿宋_GB2312" w:eastAsia="仿宋_GB2312"/>
                <w:sz w:val="32"/>
                <w:szCs w:val="32"/>
              </w:rPr>
              <w:t>〔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202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2"/>
                <w:szCs w:val="32"/>
              </w:rPr>
              <w:t>〕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号</w:t>
            </w:r>
          </w:p>
        </w:tc>
      </w:tr>
    </w:tbl>
    <w:p w14:paraId="0296CF8D">
      <w:pPr>
        <w:jc w:val="center"/>
        <w:rPr>
          <w:rFonts w:hint="eastAsia"/>
          <w:b/>
          <w:kern w:val="44"/>
          <w:sz w:val="44"/>
        </w:rPr>
      </w:pPr>
    </w:p>
    <w:p w14:paraId="393DED0C">
      <w:pPr>
        <w:spacing w:line="500" w:lineRule="exact"/>
        <w:jc w:val="center"/>
        <w:rPr>
          <w:rFonts w:hint="eastAsia"/>
          <w:b/>
          <w:kern w:val="44"/>
          <w:sz w:val="44"/>
          <w:szCs w:val="44"/>
        </w:rPr>
      </w:pPr>
    </w:p>
    <w:p w14:paraId="6BDB6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b/>
          <w:kern w:val="44"/>
          <w:sz w:val="44"/>
          <w:szCs w:val="44"/>
        </w:rPr>
      </w:pPr>
      <w:r>
        <w:rPr>
          <w:rFonts w:hint="eastAsia"/>
          <w:b/>
          <w:kern w:val="44"/>
          <w:sz w:val="44"/>
          <w:szCs w:val="44"/>
          <w:lang w:eastAsia="zh-CN"/>
        </w:rPr>
        <w:t>浑南</w:t>
      </w:r>
      <w:r>
        <w:rPr>
          <w:rFonts w:hint="eastAsia"/>
          <w:b/>
          <w:kern w:val="44"/>
          <w:sz w:val="44"/>
          <w:szCs w:val="44"/>
        </w:rPr>
        <w:t>区农业农村局关于印发浑南</w:t>
      </w:r>
      <w:r>
        <w:rPr>
          <w:rFonts w:hint="eastAsia" w:asciiTheme="majorEastAsia" w:hAnsiTheme="majorEastAsia" w:eastAsiaTheme="majorEastAsia" w:cstheme="majorEastAsia"/>
          <w:b/>
          <w:kern w:val="44"/>
          <w:sz w:val="44"/>
          <w:szCs w:val="44"/>
        </w:rPr>
        <w:t>区</w:t>
      </w:r>
      <w:r>
        <w:rPr>
          <w:rFonts w:hint="eastAsia" w:asciiTheme="majorEastAsia" w:hAnsiTheme="majorEastAsia" w:eastAsiaTheme="majorEastAsia" w:cstheme="majorEastAsia"/>
          <w:b/>
          <w:kern w:val="44"/>
          <w:sz w:val="44"/>
          <w:szCs w:val="44"/>
          <w:lang w:val="en-US" w:eastAsia="zh-CN"/>
        </w:rPr>
        <w:t>2026</w:t>
      </w:r>
      <w:r>
        <w:rPr>
          <w:rFonts w:hint="eastAsia"/>
          <w:b/>
          <w:kern w:val="44"/>
          <w:sz w:val="44"/>
          <w:szCs w:val="44"/>
        </w:rPr>
        <w:t>年耕地轮作项目实施方案的通知</w:t>
      </w:r>
    </w:p>
    <w:p w14:paraId="53732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004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街道办事处：</w:t>
      </w:r>
    </w:p>
    <w:p w14:paraId="6F932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年耕地轮作项目顺利实施，现将《浑南区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年耕地轮作项目实施方案》印发给你们，请认真组织实施。</w:t>
      </w:r>
    </w:p>
    <w:p w14:paraId="1B14A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4D5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1A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680" w:firstLineChars="11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沈阳市浑南区农业农村局</w:t>
      </w:r>
    </w:p>
    <w:p w14:paraId="653B9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320" w:firstLineChars="13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8CF4146">
      <w:pPr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00118192">
      <w:pPr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8DB121B">
      <w:pPr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54951B11">
      <w:pPr>
        <w:jc w:val="both"/>
        <w:rPr>
          <w:rFonts w:hint="eastAsia" w:ascii="宋体" w:hAnsi="宋体" w:eastAsia="宋体" w:cs="宋体"/>
          <w:b/>
          <w:bCs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E07E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浑南区20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年耕地轮作项目实施方案</w:t>
      </w:r>
    </w:p>
    <w:p w14:paraId="6ADEF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年耕地轮作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，推广大豆油料种植，稳定粮油生产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提升大豆油料产能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增强粮食和重要农产品稳产保供能力，筑牢粮食安全根基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沈阳市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农业农村局关于印发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年耕地轮作项目实施方案的通知》（沈农种发〔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号）文</w:t>
      </w:r>
      <w:r>
        <w:rPr>
          <w:rFonts w:hint="eastAsia" w:ascii="仿宋_GB2312" w:hAnsi="仿宋_GB2312" w:eastAsia="仿宋_GB2312" w:cs="仿宋_GB2312"/>
          <w:sz w:val="32"/>
          <w:szCs w:val="32"/>
        </w:rPr>
        <w:t>件要求，制定本方案。</w:t>
      </w:r>
    </w:p>
    <w:p w14:paraId="6DA46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一、总体</w:t>
      </w:r>
      <w:r>
        <w:rPr>
          <w:rFonts w:hint="eastAsia" w:ascii="黑体" w:hAnsi="黑体" w:eastAsia="黑体"/>
          <w:sz w:val="32"/>
          <w:szCs w:val="32"/>
          <w:highlight w:val="none"/>
          <w:lang w:eastAsia="zh-CN"/>
        </w:rPr>
        <w:t>要求</w:t>
      </w:r>
    </w:p>
    <w:p w14:paraId="10636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以习近平新时代中国特色社会主义思想为指导，</w:t>
      </w:r>
      <w:r>
        <w:rPr>
          <w:rFonts w:hint="eastAsia" w:eastAsia="仿宋_GB2312"/>
          <w:sz w:val="32"/>
          <w:szCs w:val="32"/>
          <w:lang w:val="en-US" w:eastAsia="zh-CN"/>
        </w:rPr>
        <w:t>全面贯彻党的二十大和二十届历次全会精神，聚焦重点品种、优化实施区域，强化科技支撑、细化指导服务，完善用地养地相结合、生产生态相统筹、增产增收相兼顾的耕作制度，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为巩固提升大豆和油料产能，保障</w:t>
      </w:r>
      <w:r>
        <w:rPr>
          <w:rFonts w:eastAsia="仿宋_GB2312" w:cs="仿宋_GB2312"/>
          <w:sz w:val="32"/>
          <w:szCs w:val="32"/>
        </w:rPr>
        <w:t>粮食</w:t>
      </w:r>
      <w:r>
        <w:rPr>
          <w:rFonts w:hint="eastAsia" w:eastAsia="仿宋_GB2312" w:cs="仿宋_GB2312"/>
          <w:sz w:val="32"/>
          <w:szCs w:val="32"/>
          <w:lang w:val="en-US" w:eastAsia="zh-CN"/>
        </w:rPr>
        <w:t>等</w:t>
      </w:r>
      <w:r>
        <w:rPr>
          <w:rFonts w:eastAsia="仿宋_GB2312" w:cs="仿宋_GB2312"/>
          <w:sz w:val="32"/>
          <w:szCs w:val="32"/>
        </w:rPr>
        <w:t>重要农产品稳</w:t>
      </w:r>
      <w:r>
        <w:rPr>
          <w:rFonts w:hint="eastAsia" w:eastAsia="仿宋_GB2312" w:cs="仿宋_GB2312"/>
          <w:sz w:val="32"/>
          <w:szCs w:val="32"/>
        </w:rPr>
        <w:t>产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安全供给提供有力支撑</w:t>
      </w:r>
      <w:r>
        <w:rPr>
          <w:rFonts w:hint="eastAsia" w:eastAsia="仿宋_GB2312" w:cs="仿宋_GB2312"/>
          <w:sz w:val="32"/>
          <w:szCs w:val="32"/>
        </w:rPr>
        <w:t>。</w:t>
      </w:r>
    </w:p>
    <w:p w14:paraId="4F664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hint="eastAsia" w:ascii="等线" w:hAnsi="等线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黑体"/>
          <w:b w:val="0"/>
          <w:sz w:val="32"/>
          <w:szCs w:val="32"/>
          <w:highlight w:val="none"/>
          <w:lang w:eastAsia="zh-CN"/>
        </w:rPr>
        <w:t>实施区域和技术路径</w:t>
      </w:r>
      <w:r>
        <w:rPr>
          <w:rFonts w:hint="eastAsia" w:ascii="仿宋_GB2312" w:eastAsia="仿宋_GB2312"/>
          <w:sz w:val="32"/>
          <w:szCs w:val="32"/>
        </w:rPr>
        <w:cr/>
      </w: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等线" w:eastAsia="楷体_GB2312" w:cs="楷体_GB2312"/>
          <w:b/>
          <w:bCs/>
          <w:sz w:val="32"/>
          <w:szCs w:val="32"/>
          <w:lang w:eastAsia="zh-CN"/>
        </w:rPr>
        <w:t>（一）实施区域。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根据上年项目执行情况及今年项目任务，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耕地轮作面积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2580.95亩（2025年80.95亩、2026年2500亩）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根据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今年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各地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申报意愿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上年度项目资金执行情况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项目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落实在</w:t>
      </w:r>
      <w:r>
        <w:rPr>
          <w:rFonts w:hint="eastAsia" w:ascii="等线" w:hAnsi="等线" w:eastAsia="仿宋_GB2312" w:cs="Times New Roman"/>
          <w:color w:val="auto"/>
          <w:sz w:val="32"/>
          <w:szCs w:val="32"/>
          <w:highlight w:val="none"/>
          <w:lang w:val="en-US" w:eastAsia="zh-CN"/>
        </w:rPr>
        <w:t>王滨街道0.08万亩、高坎街道0.07万亩、李相街道0.1万亩</w:t>
      </w:r>
      <w:r>
        <w:rPr>
          <w:rFonts w:hint="eastAsia" w:ascii="等线" w:hAnsi="等线" w:eastAsia="仿宋_GB2312" w:cs="Times New Roman"/>
          <w:color w:val="auto"/>
          <w:sz w:val="32"/>
          <w:szCs w:val="32"/>
          <w:highlight w:val="none"/>
          <w:lang w:eastAsia="zh-CN"/>
        </w:rPr>
        <w:t>实施（以街道实际种植面积为准）</w:t>
      </w:r>
      <w:r>
        <w:rPr>
          <w:rFonts w:hint="eastAsia" w:ascii="等线" w:hAnsi="等线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p w14:paraId="6E7BB49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3" w:firstLineChars="200"/>
        <w:textAlignment w:val="top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fill="auto"/>
          <w:lang w:val="en-US" w:eastAsia="zh-CN" w:bidi="ar-SA"/>
        </w:rPr>
        <w:t>（二）技术路径。</w:t>
      </w:r>
      <w:r>
        <w:rPr>
          <w:rFonts w:hint="eastAsia" w:ascii="等线" w:hAnsi="等线" w:eastAsia="仿宋_GB2312" w:cs="Times New Roman"/>
          <w:i w:val="0"/>
          <w:caps w:val="0"/>
          <w:color w:val="000000"/>
          <w:spacing w:val="0"/>
          <w:kern w:val="2"/>
          <w:sz w:val="32"/>
          <w:szCs w:val="32"/>
          <w:shd w:val="clear" w:fill="auto"/>
          <w:lang w:val="en-US" w:eastAsia="zh-CN" w:bidi="ar"/>
        </w:rPr>
        <w:t>结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合我区实际，推行大豆与玉米、花生等轮作，</w:t>
      </w:r>
      <w:r>
        <w:rPr>
          <w:rFonts w:hint="eastAsia" w:ascii="仿宋_GB2312" w:eastAsia="仿宋_GB2312"/>
          <w:sz w:val="32"/>
          <w:szCs w:val="32"/>
        </w:rPr>
        <w:t>重点推行轮作种植大豆、花生，</w:t>
      </w:r>
      <w:r>
        <w:rPr>
          <w:rFonts w:hint="eastAsia" w:ascii="Times New Roman" w:hAnsi="Times New Roman" w:eastAsia="仿宋_GB2312" w:cs="仿宋_GB2312"/>
          <w:i w:val="0"/>
          <w:caps w:val="0"/>
          <w:spacing w:val="0"/>
          <w:kern w:val="2"/>
          <w:sz w:val="32"/>
          <w:szCs w:val="32"/>
          <w:shd w:val="clear"/>
          <w:lang w:val="en-US" w:eastAsia="zh-CN" w:bidi="ar"/>
        </w:rPr>
        <w:t>发展</w:t>
      </w: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"/>
        </w:rPr>
        <w:t>大豆和油料作物生产。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年种植玉米等其他作物、202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年轮作种植大豆油料、202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仍种植大豆油料的，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也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纳入轮作补贴范围。</w:t>
      </w:r>
    </w:p>
    <w:p w14:paraId="7259BD8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top"/>
        <w:rPr>
          <w:rFonts w:hint="eastAsia" w:ascii="Times New Roman" w:hAnsi="Times New Roman" w:eastAsia="黑体"/>
          <w:b w:val="0"/>
          <w:sz w:val="32"/>
          <w:szCs w:val="32"/>
          <w:highlight w:val="none"/>
          <w:lang w:eastAsia="zh-CN"/>
        </w:rPr>
      </w:pPr>
      <w:r>
        <w:rPr>
          <w:rFonts w:hint="eastAsia" w:eastAsia="黑体"/>
          <w:b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黑体"/>
          <w:b w:val="0"/>
          <w:sz w:val="32"/>
          <w:szCs w:val="32"/>
          <w:highlight w:val="none"/>
          <w:lang w:eastAsia="zh-CN"/>
        </w:rPr>
        <w:t>、补贴对象、标准、范围</w:t>
      </w:r>
    </w:p>
    <w:p w14:paraId="4E63C6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（一）补贴对象。</w:t>
      </w:r>
      <w:r>
        <w:rPr>
          <w:rFonts w:hint="eastAsia" w:ascii="仿宋_GB2312" w:eastAsia="仿宋_GB2312"/>
          <w:sz w:val="32"/>
          <w:szCs w:val="32"/>
        </w:rPr>
        <w:t>选择积极性高，责任意识强、</w:t>
      </w:r>
      <w:r>
        <w:rPr>
          <w:rFonts w:ascii="仿宋_GB2312" w:eastAsia="仿宋_GB2312"/>
          <w:sz w:val="32"/>
          <w:szCs w:val="32"/>
        </w:rPr>
        <w:t>自愿参加耕地轮作项目的农户</w:t>
      </w:r>
      <w:r>
        <w:rPr>
          <w:rFonts w:hint="eastAsia" w:ascii="仿宋_GB2312" w:eastAsia="仿宋_GB2312"/>
          <w:sz w:val="32"/>
          <w:szCs w:val="32"/>
        </w:rPr>
        <w:t>及各类</w:t>
      </w:r>
      <w:r>
        <w:rPr>
          <w:rFonts w:ascii="仿宋_GB2312" w:eastAsia="仿宋_GB2312"/>
          <w:sz w:val="32"/>
          <w:szCs w:val="32"/>
        </w:rPr>
        <w:t>新型</w:t>
      </w:r>
      <w:r>
        <w:rPr>
          <w:rFonts w:hint="eastAsia" w:ascii="仿宋_GB2312" w:eastAsia="仿宋_GB2312"/>
          <w:sz w:val="32"/>
          <w:szCs w:val="32"/>
        </w:rPr>
        <w:t>农业</w:t>
      </w:r>
      <w:r>
        <w:rPr>
          <w:rFonts w:ascii="仿宋_GB2312" w:eastAsia="仿宋_GB2312"/>
          <w:sz w:val="32"/>
          <w:szCs w:val="32"/>
        </w:rPr>
        <w:t>经营主体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92FCD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（二）补贴标准。</w:t>
      </w:r>
      <w:r>
        <w:rPr>
          <w:rFonts w:hint="eastAsia" w:ascii="仿宋_GB2312" w:eastAsia="仿宋_GB2312"/>
          <w:sz w:val="32"/>
          <w:szCs w:val="32"/>
        </w:rPr>
        <w:t>对符合耕地轮作项目要求的地块，补</w:t>
      </w:r>
      <w:r>
        <w:rPr>
          <w:rFonts w:hint="eastAsia" w:ascii="仿宋_GB2312" w:eastAsia="仿宋_GB2312"/>
          <w:sz w:val="32"/>
          <w:szCs w:val="32"/>
          <w:highlight w:val="none"/>
        </w:rPr>
        <w:t>助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150元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/亩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415E59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（三）补贴范围。</w:t>
      </w:r>
      <w:r>
        <w:rPr>
          <w:rFonts w:hint="eastAsia" w:ascii="仿宋_GB2312" w:eastAsia="仿宋_GB2312"/>
          <w:sz w:val="32"/>
          <w:szCs w:val="32"/>
        </w:rPr>
        <w:t>轮作大豆、轮作油料、</w:t>
      </w:r>
      <w:r>
        <w:rPr>
          <w:rFonts w:hint="eastAsia" w:ascii="仿宋_GB2312" w:eastAsia="仿宋_GB2312"/>
          <w:sz w:val="32"/>
          <w:szCs w:val="32"/>
          <w:highlight w:val="none"/>
        </w:rPr>
        <w:t>轮作其它粮食作物均符合补贴范围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  <w:t>其中，优先补贴轮作大豆及油料作物，其他粮食作物视当年补贴资金剩余情况而定。对2024年种植玉米等其他作物、2025年轮作种植大豆油料、2026年仍种植大豆油料的，纳入轮作补贴范围。</w:t>
      </w:r>
    </w:p>
    <w:p w14:paraId="312189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hint="eastAsia" w:ascii="Times New Roman" w:hAnsi="Times New Roman" w:eastAsia="黑体"/>
          <w:b w:val="0"/>
          <w:sz w:val="32"/>
          <w:szCs w:val="32"/>
          <w:highlight w:val="none"/>
          <w:lang w:eastAsia="zh-CN"/>
        </w:rPr>
      </w:pPr>
      <w:r>
        <w:rPr>
          <w:rFonts w:hint="eastAsia" w:eastAsia="黑体"/>
          <w:b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黑体"/>
          <w:b w:val="0"/>
          <w:sz w:val="32"/>
          <w:szCs w:val="32"/>
          <w:highlight w:val="none"/>
          <w:lang w:eastAsia="zh-CN"/>
        </w:rPr>
        <w:t>、项目实施流程</w:t>
      </w:r>
    </w:p>
    <w:p w14:paraId="2A21C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1.项目申报审核。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由街道组织社区、农户或新型农业经营主体进行申报，明确实施区域</w:t>
      </w:r>
      <w:r>
        <w:rPr>
          <w:rFonts w:hint="eastAsia" w:ascii="仿宋_GB2312" w:eastAsia="仿宋_GB2312"/>
          <w:b w:val="0"/>
          <w:bCs/>
          <w:sz w:val="32"/>
          <w:szCs w:val="32"/>
          <w:highlight w:val="none"/>
          <w:lang w:val="en-US" w:eastAsia="zh-CN"/>
        </w:rPr>
        <w:t>及作物种植面积，选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择</w:t>
      </w:r>
      <w:r>
        <w:rPr>
          <w:rFonts w:hint="eastAsia" w:ascii="仿宋_GB2312" w:eastAsia="仿宋_GB2312"/>
          <w:b w:val="0"/>
          <w:bCs/>
          <w:sz w:val="32"/>
          <w:szCs w:val="32"/>
        </w:rPr>
        <w:t>积极性高，责任心强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能切实完成申报任务面积的种植主体</w:t>
      </w:r>
      <w:r>
        <w:rPr>
          <w:rFonts w:hint="eastAsia" w:ascii="仿宋_GB2312" w:eastAsia="仿宋_GB2312"/>
          <w:b w:val="0"/>
          <w:bCs/>
          <w:sz w:val="32"/>
          <w:szCs w:val="32"/>
        </w:rPr>
        <w:t>为项目实施主体。</w:t>
      </w:r>
    </w:p>
    <w:p w14:paraId="0A3CD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2.面积核查及</w:t>
      </w:r>
      <w:r>
        <w:rPr>
          <w:rFonts w:hint="eastAsia" w:ascii="仿宋_GB2312" w:eastAsia="仿宋_GB2312"/>
          <w:b/>
          <w:sz w:val="32"/>
          <w:szCs w:val="32"/>
        </w:rPr>
        <w:t>签订协议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由街道、社区、项目实施主体签订三方协议（一式四份，三方各执一份，报区农业农村局一份）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协议原则上一年一签，明确上下茬口作物，特别是下茬作物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需</w:t>
      </w:r>
      <w:r>
        <w:rPr>
          <w:rFonts w:hint="eastAsia" w:ascii="仿宋_GB2312" w:eastAsia="仿宋_GB2312"/>
          <w:sz w:val="32"/>
          <w:szCs w:val="32"/>
        </w:rPr>
        <w:t>为目标作物，明确实施面积、补贴资金、相关权利、责任和义务。</w:t>
      </w:r>
      <w:r>
        <w:rPr>
          <w:rFonts w:hint="eastAsia" w:ascii="仿宋_GB2312" w:eastAsia="仿宋_GB2312"/>
          <w:sz w:val="32"/>
          <w:szCs w:val="32"/>
          <w:highlight w:val="none"/>
        </w:rPr>
        <w:t>任务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要</w:t>
      </w:r>
      <w:r>
        <w:rPr>
          <w:rFonts w:hint="eastAsia" w:ascii="仿宋_GB2312" w:eastAsia="仿宋_GB2312"/>
          <w:sz w:val="32"/>
          <w:szCs w:val="32"/>
          <w:highlight w:val="none"/>
        </w:rPr>
        <w:t>细化分解到村、精准落实到户、明确标注到地块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主体需要配合提供流转合同、确权证、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之前2024、2025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年种植作物证明材料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。8月31日前，全面完成面积核实工作。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</w:t>
      </w:r>
    </w:p>
    <w:p w14:paraId="2B2455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严格落实公示制度。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区农业农村局、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街道办事处</w:t>
      </w:r>
      <w:r>
        <w:rPr>
          <w:rFonts w:hint="eastAsia" w:ascii="仿宋_GB2312" w:eastAsia="仿宋_GB2312"/>
          <w:sz w:val="32"/>
          <w:szCs w:val="32"/>
          <w:lang w:eastAsia="zh-CN"/>
        </w:rPr>
        <w:t>、村委会要及时将项目承担主体、任务数量、补助金额等进行公开公示，公示期5天以上。</w:t>
      </w:r>
    </w:p>
    <w:p w14:paraId="4FB56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eastAsia="仿宋_GB2312"/>
          <w:b/>
          <w:sz w:val="32"/>
          <w:szCs w:val="32"/>
          <w:highlight w:val="none"/>
        </w:rPr>
        <w:t>项目检查验收。</w:t>
      </w:r>
      <w:r>
        <w:rPr>
          <w:rFonts w:hint="eastAsia" w:ascii="仿宋_GB2312" w:eastAsia="仿宋_GB2312"/>
          <w:sz w:val="32"/>
          <w:szCs w:val="32"/>
          <w:highlight w:val="none"/>
        </w:rPr>
        <w:t>区级为耕地轮作项目的验收主体，全面负责辖区内耕地轮作项目的验收工作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>项目实施后，按照“实施主体申报、村级审核公示、街道验收确认、区级复验汇总”的工作流程组织实施，确保验收结果公开公平，信息准确。</w:t>
      </w:r>
    </w:p>
    <w:p w14:paraId="0534A0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、保障措施</w:t>
      </w:r>
    </w:p>
    <w:p w14:paraId="54A610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（一）加强组织领导。</w:t>
      </w:r>
      <w:r>
        <w:rPr>
          <w:rFonts w:hint="eastAsia" w:ascii="仿宋_GB2312" w:eastAsia="仿宋_GB2312"/>
          <w:sz w:val="32"/>
          <w:szCs w:val="32"/>
        </w:rPr>
        <w:t>各街道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办事处</w:t>
      </w:r>
      <w:r>
        <w:rPr>
          <w:rFonts w:hint="eastAsia" w:ascii="仿宋_GB2312" w:eastAsia="仿宋_GB2312"/>
          <w:sz w:val="32"/>
          <w:szCs w:val="32"/>
        </w:rPr>
        <w:t>要做到主要领导亲自抓、负总责，成立工作专班，全面推进轮作任务落实落地，加强与有关部门协同配合，明确责任分工，形成工作合力。区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</w:t>
      </w:r>
      <w:r>
        <w:rPr>
          <w:rFonts w:hint="eastAsia" w:ascii="仿宋_GB2312" w:eastAsia="仿宋_GB2312"/>
          <w:sz w:val="32"/>
          <w:szCs w:val="32"/>
        </w:rPr>
        <w:t>农村局做好耕地轮作工作推进和督导检查。</w:t>
      </w:r>
    </w:p>
    <w:p w14:paraId="793EA0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（二）加强技术指导。</w:t>
      </w:r>
      <w:r>
        <w:rPr>
          <w:rFonts w:hint="eastAsia" w:ascii="仿宋_GB2312" w:eastAsia="仿宋_GB2312"/>
          <w:sz w:val="32"/>
          <w:szCs w:val="32"/>
        </w:rPr>
        <w:t>区农业农村局组织区</w:t>
      </w:r>
      <w:r>
        <w:rPr>
          <w:rFonts w:eastAsia="仿宋_GB2312"/>
          <w:sz w:val="32"/>
          <w:szCs w:val="32"/>
        </w:rPr>
        <w:t>乡村振兴发展中心专家成立技术指导组，</w:t>
      </w:r>
      <w:r>
        <w:rPr>
          <w:rFonts w:hint="eastAsia" w:eastAsia="仿宋_GB2312"/>
          <w:sz w:val="32"/>
          <w:szCs w:val="32"/>
        </w:rPr>
        <w:t>在关键农时季节深入</w:t>
      </w:r>
      <w:r>
        <w:rPr>
          <w:rFonts w:hint="eastAsia" w:eastAsia="仿宋_GB2312"/>
          <w:sz w:val="32"/>
          <w:szCs w:val="32"/>
          <w:lang w:val="en-US" w:eastAsia="zh-CN"/>
        </w:rPr>
        <w:t>田间地头，</w:t>
      </w:r>
      <w:r>
        <w:rPr>
          <w:rFonts w:hint="eastAsia" w:eastAsia="仿宋_GB2312"/>
          <w:color w:val="000000"/>
          <w:sz w:val="32"/>
          <w:szCs w:val="32"/>
        </w:rPr>
        <w:t>指导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申报项目的</w:t>
      </w:r>
      <w:r>
        <w:rPr>
          <w:rFonts w:hint="eastAsia" w:eastAsia="仿宋_GB2312"/>
          <w:color w:val="000000"/>
          <w:sz w:val="32"/>
          <w:szCs w:val="32"/>
        </w:rPr>
        <w:t>农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户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/>
          <w:color w:val="000000"/>
          <w:sz w:val="32"/>
          <w:szCs w:val="32"/>
        </w:rPr>
        <w:t>新型农业经营主体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等</w:t>
      </w:r>
      <w:r>
        <w:rPr>
          <w:rFonts w:hint="eastAsia" w:eastAsia="仿宋_GB2312"/>
          <w:color w:val="000000"/>
          <w:sz w:val="32"/>
          <w:szCs w:val="32"/>
        </w:rPr>
        <w:t>掌握技术要领，搞好机具改装配套，落实替代作物种子，满足生产实际需要。</w:t>
      </w:r>
    </w:p>
    <w:p w14:paraId="42FA82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（三）加强督导调度。</w:t>
      </w:r>
      <w:r>
        <w:rPr>
          <w:rFonts w:hint="eastAsia" w:ascii="仿宋_GB2312" w:eastAsia="仿宋_GB2312"/>
          <w:sz w:val="32"/>
          <w:szCs w:val="32"/>
        </w:rPr>
        <w:t>区农业农村局要开展工作指导，推动资金落实、技术落实和任务落实。按照项目管理要求做好项目进展调度，及时掌握并报送实施进度和资金管理有关情况，建立补贴对象名录，全过程建档立案。</w:t>
      </w:r>
    </w:p>
    <w:p w14:paraId="2743C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（四）完善补助方式。</w:t>
      </w:r>
      <w:r>
        <w:rPr>
          <w:rFonts w:hint="eastAsia" w:ascii="仿宋_GB2312" w:eastAsia="仿宋_GB2312"/>
          <w:sz w:val="32"/>
          <w:szCs w:val="32"/>
          <w:highlight w:val="none"/>
        </w:rPr>
        <w:t>街道组织社区做好轮作地块和补助面积核实确认、登记公示，建立完善的工作台账。轮作补助面积和补贴资金在社区张榜公示无异议后，区财政局根据区农业农村局提供的街道审核确认的轮作面积，将补助资金通过“一卡通”兑付到承担任务的农户、新型经营主体。将轮作补助与玉米大豆生产者补贴等政策相衔接、同向发力，最大限度发挥资金激励效应。</w:t>
      </w:r>
    </w:p>
    <w:p w14:paraId="7F445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（五）强化资金管理。</w:t>
      </w:r>
      <w:r>
        <w:rPr>
          <w:rFonts w:hint="eastAsia" w:ascii="仿宋_GB2312" w:eastAsia="仿宋_GB2312"/>
          <w:sz w:val="32"/>
          <w:szCs w:val="32"/>
          <w:highlight w:val="none"/>
        </w:rPr>
        <w:t>严格按照相关资金管理办法规定，确保资金落实，及时足额拨付中央财政安排的补助资金。加强资金使用管理，不得向不符合条件的生产经营主体分配资金，不得擅自超出范围和标准分配或使用补助资金，对滥用职权、玩忽职守、徇私舞弊等违法违纪行为的，按照国家有关规定追究相关责任。</w:t>
      </w:r>
    </w:p>
    <w:p w14:paraId="3F3276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（六）强化宣传总结。</w:t>
      </w:r>
      <w:r>
        <w:rPr>
          <w:rFonts w:hint="eastAsia" w:ascii="仿宋_GB2312" w:eastAsia="仿宋_GB2312"/>
          <w:sz w:val="32"/>
          <w:szCs w:val="32"/>
        </w:rPr>
        <w:t>各街道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办事处</w:t>
      </w:r>
      <w:r>
        <w:rPr>
          <w:rFonts w:hint="eastAsia" w:ascii="仿宋_GB2312" w:eastAsia="仿宋_GB2312"/>
          <w:sz w:val="32"/>
          <w:szCs w:val="32"/>
        </w:rPr>
        <w:t>、社区要充分利用广播、电视、网络等媒体，宣传耕地轮作的重要意义和有关要求，引导社会各界关注支持耕地轮作工作。通过现场观摩、经验交流、典型示范等方式，宣传耕地轮作的积极成效，营造良好舆论氛围。</w:t>
      </w:r>
    </w:p>
    <w:p w14:paraId="1C7EF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0999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918" w:leftChars="304" w:hanging="1280" w:hangingChars="4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附件：1.浑南区2026年主要粮油作物轮作生产技术方案</w:t>
      </w:r>
    </w:p>
    <w:p w14:paraId="6CD93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.浑南区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年耕地轮作技术专家指导组</w:t>
      </w:r>
    </w:p>
    <w:p w14:paraId="206D9C91">
      <w:pPr>
        <w:ind w:firstLine="160" w:firstLineChars="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B8E760E">
      <w:pPr>
        <w:ind w:firstLine="160" w:firstLineChars="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90807B2">
      <w:pPr>
        <w:ind w:firstLine="160" w:firstLineChars="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18BD7EE3">
      <w:pPr>
        <w:ind w:firstLine="160" w:firstLineChars="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</w:p>
    <w:p w14:paraId="0CB9B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浑南区202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年主要粮油作物轮作</w:t>
      </w:r>
    </w:p>
    <w:p w14:paraId="24087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生产技术方案</w:t>
      </w:r>
    </w:p>
    <w:p w14:paraId="0F8BE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E0F6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为贯彻落实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《浑南区农业农村局关于印发2026年耕地轮作项目实施方案的通知》（沈浑农字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15号）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要求，指导做好耕地轮作轮休，持续扩种大豆、油料，结合我区实际，特制定本方案。</w:t>
      </w:r>
    </w:p>
    <w:p w14:paraId="6B59A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一、总体原则</w:t>
      </w:r>
    </w:p>
    <w:p w14:paraId="331AA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习近平新时代中国特色社会主义思想为指导，统筹当前与长远、兼顾用地与养地，突出夯实粮食安全根基，聚焦重点作物、落实技术模式，避免单一作物连作导致的土壤养分失衡和病虫害累积问题。利用不同作物对土壤养分的需求差异，实现土壤肥力的可持续利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为后续作物生长创造良好条件。</w:t>
      </w:r>
    </w:p>
    <w:p w14:paraId="65326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二、主要轮作模式及技术要点</w:t>
      </w:r>
    </w:p>
    <w:p w14:paraId="3388E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我区2026年主要采取玉米、大豆、花生等轮作模式。</w:t>
      </w:r>
    </w:p>
    <w:p w14:paraId="50165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（一）玉米大豆轮作模式</w:t>
      </w:r>
    </w:p>
    <w:p w14:paraId="43304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玉米大豆轮作是在同一块土地上，有顺序地在年际间或茬口间轮换种植玉米和大豆的种植模式。</w:t>
      </w:r>
    </w:p>
    <w:p w14:paraId="66C72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1.前茬作物残茬处理</w:t>
      </w:r>
    </w:p>
    <w:p w14:paraId="57C77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（1）玉米残茬。玉米收获留茬高度宜低于15厘米，秸秆粉碎后均匀覆盖地表，秸秆粉碎长度应≤50厘米，粉碎长度合格率≥90%。</w:t>
      </w:r>
    </w:p>
    <w:p w14:paraId="1C9FA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（2）大豆残茬。大豆收获留茬高度宜低于10厘米，秸秆一般收获时带离田间。</w:t>
      </w:r>
    </w:p>
    <w:p w14:paraId="74DFA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2.整地</w:t>
      </w:r>
    </w:p>
    <w:p w14:paraId="2BFF4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不同区域气候和生态环境以及农机具条件和种植习惯，可选择免耕结合深耕、浅旋耕结合深松、浅旋耕结合深翻或深耙等耕作方式，推荐深松、深翻结合整地，增施有机肥相结合；春季整地要因地制宜采取相应措施，具体方法与玉米大豆带状复合种植轮作模式相同。</w:t>
      </w:r>
    </w:p>
    <w:p w14:paraId="2B097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（1）免耕结合深耕作业。不进行土壤耕作，直接在春季采用免耕播种机进行施肥播种。一般一个轮作周期需深松或深翻或深耙一次，时间一般选择秋季进行，深度大于30厘米（以打破犁底层为宜）。</w:t>
      </w:r>
    </w:p>
    <w:p w14:paraId="7ECC2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（2）浅旋耕结合深松作业。在秋季或春季采用旋耕机灭茬整地后播种，一般一个轮作周期需深松一次，时间一般选择秋季进行，深松深度大于35厘米。</w:t>
      </w:r>
    </w:p>
    <w:p w14:paraId="4D417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浅旋耕结合深翻或深耙作业。在沙土、沙壤土及耕层以下为沙层等漏水漏肥农田，不适宜进行深松，一般在秋季或春季采用旋耕机灭茬整地后播种，两个轮作周期深翻或深耙一次，时间一般选择秋季进行，深翻或深耙深度30厘米为宜。</w:t>
      </w:r>
    </w:p>
    <w:p w14:paraId="15919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3.品种选择</w:t>
      </w:r>
    </w:p>
    <w:p w14:paraId="276CE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根据市场需求和生产目标，结合当地积温及土壤肥力情况，选用生育期适宜，且通过国家或省级审定推广的优良玉米、大豆品种。玉米、大豆种子质量均应达到国家标准。</w:t>
      </w:r>
    </w:p>
    <w:p w14:paraId="49EAA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4.播种</w:t>
      </w:r>
    </w:p>
    <w:p w14:paraId="74401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（1）种子处理。玉米、大豆种子建议选用经包衣处理的商品种。如自行包衣，则可根据当地病虫害种类及危害程度选择适宜种衣剂，并严格规范包衣。</w:t>
      </w:r>
    </w:p>
    <w:p w14:paraId="09DE7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（2）播种期。当地表下5厘米土壤温度稳定在8℃以上，即可播种，玉米一般为4月下旬到5月上旬，大豆一般为5月上中旬。</w:t>
      </w:r>
    </w:p>
    <w:p w14:paraId="5C175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5.科学施肥</w:t>
      </w:r>
    </w:p>
    <w:p w14:paraId="0AA5C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根据两种作物需求量、目标产量和土壤肥力，按照测土配方施肥方案进行合理施肥。</w:t>
      </w:r>
    </w:p>
    <w:p w14:paraId="1A02A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玉米种肥、基肥。播种时采用种肥与基肥分层施用的方式，一次性施肥。种肥选择玉米专用口肥，亩用量为7.5～10公斤，施于种子侧面45厘米处，种肥隔离，防量烧苗；基肥选择控释复合（混）肥、缓释肥，总养分含量≥45％，亩施肥量为45～50公斤，施于种子侧下12～15厘米处。</w:t>
      </w:r>
    </w:p>
    <w:p w14:paraId="48B41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大豆种肥、基肥。由于前茬种植玉米，施肥量大，大豆施肥可适量减少，做到稳氮、增施磷钾。尿素每亩3～4公斤，磷酸二铵7～10公斤，硫酸钾5～8公斤。结合翻整地施入70%的化肥，深度要达种下10～15厘米；播种时施入30%的化肥，侧深施于种下4～5厘米处。</w:t>
      </w:r>
    </w:p>
    <w:p w14:paraId="57D2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常规追肥。可在玉米拔节期每亩追施尿素18～24公斤；在大豆开花期每亩追施尿素5～6公斤。有条件的地块可随滴灌追肥，玉米拔节期每亩追施尿素12～16公斤，磷酸二氢钾1公斤，在抽雄期追尿素6～8公斤，磷酸二氢钾1公斤；大豆开花期每亩追施尿素5～6公斤。</w:t>
      </w:r>
    </w:p>
    <w:p w14:paraId="2B375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6.化学除草</w:t>
      </w:r>
    </w:p>
    <w:p w14:paraId="361B8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采取“封定结合”的杂草防除策略，优先选择芽前封闭除草。根据田间主要杂草种类选择安全、高效、低毒的除草剂，并严格应用，禁止使用长残效除草剂，避免对下茬作物生产的影响。</w:t>
      </w:r>
    </w:p>
    <w:p w14:paraId="57049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（1）封闭除草。玉米和大豆均可选用精异丙甲草胺，防除一年生杂草和部分阔叶杂草。</w:t>
      </w:r>
    </w:p>
    <w:p w14:paraId="3CE11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茎叶除草。如出苗后田间草害较为严重，在大豆第一对真叶展开时，可选用拿捕净，防除一年生或多年生禾本科杂草；在玉米3～5叶期，可选用莠去津（阿特拉津），防除一年生和二年生阔叶杂草和单子叶杂草。</w:t>
      </w:r>
    </w:p>
    <w:p w14:paraId="40D65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.收获</w:t>
      </w:r>
    </w:p>
    <w:p w14:paraId="5CF13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在玉米完全成熟时开始收获；当大豆植株叶片脱落，茎秆和籽粒呈现原品种色泽时及时进行收获。</w:t>
      </w:r>
    </w:p>
    <w:p w14:paraId="695BE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（二）花生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大豆轮作模式</w:t>
      </w:r>
    </w:p>
    <w:p w14:paraId="36C2D5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花生和大豆均属于豆科作物，根系具有根瘤菌，能固氮改善土壤肥力。但二者对养分的吸收侧重及病虫害发生种类有所差异，进行轮作可减少连作障碍，降低土传病害（如花生根腐病、大豆胞囊线虫病）发生概率，同时合理利用土壤养分，提高土地产出效率。</w:t>
      </w:r>
    </w:p>
    <w:p w14:paraId="43FC7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1.品种选择</w:t>
      </w:r>
    </w:p>
    <w:p w14:paraId="5FD5F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选择适合沈阳地区气候条件，生育期120 - 130天左右，高产、抗病性强、耐瘠薄的品种，这类品种荚果饱满，出油率高，且对沈阳常见的叶斑病、锈病有较好抗性。</w:t>
      </w:r>
    </w:p>
    <w:p w14:paraId="7A120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2.整地</w:t>
      </w:r>
    </w:p>
    <w:p w14:paraId="6D36D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及时清理田间残茬和杂草，进行浅旋耕，深度10-15厘米，破碎土块，平整土地。若土壤墒情不足，可进行灌溉造墒，确保大豆播种时有适宜的土壤湿度。</w:t>
      </w:r>
    </w:p>
    <w:p w14:paraId="516A7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3.施肥管理</w:t>
      </w:r>
    </w:p>
    <w:p w14:paraId="3508B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基肥：每亩施入腐熟农家肥1500 - 2000公斤，三元复合肥（15 - 15 - 15）20 - 25 公斤，翻耕入土。​</w:t>
      </w:r>
    </w:p>
    <w:p w14:paraId="40E7F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种肥：播种时，每亩施用磷酸二铵5 - 7 公斤，施于种子侧下方 3 - 5 厘米处，避免与种子直接接触，防止烧种。</w:t>
      </w:r>
    </w:p>
    <w:p w14:paraId="03D4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追肥：在大豆分枝期至初花期，根据植株生长情况，每亩追施尿素 3 - 5 公斤；在鼓粒期，叶面喷施 0.2% - 0.3% 磷酸二氢钾溶液和 0.1% - 0.2% 硼砂溶液，促进籽粒饱满。</w:t>
      </w:r>
    </w:p>
    <w:p w14:paraId="0F4F7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4.病虫害防治</w:t>
      </w:r>
    </w:p>
    <w:p w14:paraId="3A7AA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病害：叶斑病在发病初期，选用50%多菌灵可湿性粉剂 800-1000倍液或 70% 甲基硫菌灵可湿性粉剂 1000 - 1200 倍液喷雾防治，每隔7-10天喷一次，连喷 2- 3次；锈病发病初期，用25% 三唑酮可湿性粉剂1500 -2000倍液喷雾防治。​</w:t>
      </w:r>
    </w:p>
    <w:p w14:paraId="66EA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虫害：地下害虫（蛴螬、金针虫等）在播种前，每亩用 5% 辛硫磷颗粒剂 2 - 3 公斤，与细土 20 - 30 公斤拌匀，制成毒土撒施于播种沟内；蚜虫发生时，用 10% 吡虫啉可湿性粉剂 2000 - 3000 倍液喷雾防治。</w:t>
      </w:r>
    </w:p>
    <w:p w14:paraId="7F8A0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草害：播种后苗前，每亩用 96% 精异丙甲草胺乳油 100 - 150 毫升，兑水 30 - 40 公斤均匀喷雾进行封闭除草；苗后，在杂草 3 - 5 叶期，选用 10.8% 高效氟吡甲禾灵乳油30 -40毫升加25% 氟磺胺草醚水剂 50 - 60 毫升，兑水 30公斤喷雾防除禾本科和阔叶杂草。</w:t>
      </w:r>
    </w:p>
    <w:p w14:paraId="29AE0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5.田间管理</w:t>
      </w:r>
    </w:p>
    <w:p w14:paraId="3FEE9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清棵蹲苗：花生齐苗后，及时进行清棵，将幼苗周围的土扒开，使两片子叶露出地面，促进第一对侧枝生长。清棵后 15 - 20 天进行封窝。​</w:t>
      </w:r>
    </w:p>
    <w:p w14:paraId="58DD7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中耕培土：在花生开花下针期，进行 2 - 3 次中耕培土，疏松土壤，增厚土层，有利于果针入土结荚。第一次中耕宜浅，深度 3 - 5 厘米；第二次和第三次中耕适当加深，深度 5 - 7 厘米。​</w:t>
      </w:r>
    </w:p>
    <w:p w14:paraId="13446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控旺防倒：在花生盛花后期，若植株生长过旺，可每亩用15%多效唑可湿性粉剂40-50 克，兑水30公斤均匀喷雾，控制植株徒长，防止倒伏。</w:t>
      </w:r>
    </w:p>
    <w:p w14:paraId="4580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23AB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7B52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2335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09B0B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D64A7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DC0B8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EE0A7C6">
      <w:pPr>
        <w:widowControl w:val="0"/>
        <w:wordWrap/>
        <w:spacing w:line="560" w:lineRule="exact"/>
        <w:ind w:left="0" w:leftChars="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</w:pPr>
    </w:p>
    <w:p w14:paraId="3B119519">
      <w:pPr>
        <w:ind w:firstLine="160" w:firstLineChars="5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附件2：</w:t>
      </w:r>
    </w:p>
    <w:p w14:paraId="7467FC9D">
      <w:pPr>
        <w:widowControl w:val="0"/>
        <w:wordWrap/>
        <w:spacing w:line="560" w:lineRule="exact"/>
        <w:ind w:left="0" w:leftChars="0"/>
        <w:jc w:val="both"/>
        <w:textAlignment w:val="auto"/>
        <w:rPr>
          <w:rFonts w:hint="default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</w:pPr>
    </w:p>
    <w:p w14:paraId="41EFE857">
      <w:pPr>
        <w:widowControl w:val="0"/>
        <w:wordWrap/>
        <w:spacing w:line="56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  <w:t>浑南区202</w:t>
      </w:r>
      <w:r>
        <w:rPr>
          <w:rFonts w:hint="eastAsia" w:ascii="宋体" w:hAnsi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  <w:t>年耕地轮作技术专家指导组</w:t>
      </w:r>
    </w:p>
    <w:p w14:paraId="44141189">
      <w:pPr>
        <w:widowControl w:val="0"/>
        <w:wordWrap/>
        <w:spacing w:line="560" w:lineRule="exact"/>
        <w:ind w:left="0" w:leftChars="0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pacing w:val="0"/>
          <w:sz w:val="44"/>
          <w:szCs w:val="44"/>
          <w:highlight w:val="none"/>
          <w:lang w:val="en-US" w:eastAsia="zh-CN"/>
        </w:rPr>
      </w:pPr>
    </w:p>
    <w:tbl>
      <w:tblPr>
        <w:tblStyle w:val="5"/>
        <w:tblW w:w="7784" w:type="dxa"/>
        <w:tblInd w:w="64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7"/>
        <w:gridCol w:w="5337"/>
      </w:tblGrid>
      <w:tr w14:paraId="3B4526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447" w:type="dxa"/>
            <w:noWrap w:val="0"/>
            <w:vAlign w:val="center"/>
          </w:tcPr>
          <w:p w14:paraId="410314ED">
            <w:pPr>
              <w:spacing w:line="220" w:lineRule="auto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6"/>
                <w:sz w:val="32"/>
                <w:szCs w:val="32"/>
                <w:highlight w:val="none"/>
              </w:rPr>
              <w:t>组</w:t>
            </w:r>
            <w:r>
              <w:rPr>
                <w:rFonts w:hint="default" w:ascii="Times New Roman" w:hAnsi="Times New Roman" w:eastAsia="仿宋" w:cs="Times New Roman"/>
                <w:spacing w:val="3"/>
                <w:sz w:val="32"/>
                <w:szCs w:val="32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pacing w:val="6"/>
                <w:sz w:val="32"/>
                <w:szCs w:val="32"/>
                <w:highlight w:val="none"/>
              </w:rPr>
              <w:t>长：</w:t>
            </w:r>
            <w:r>
              <w:rPr>
                <w:rFonts w:hint="default" w:ascii="Times New Roman" w:hAnsi="Times New Roman" w:eastAsia="仿宋" w:cs="Times New Roman"/>
                <w:spacing w:val="6"/>
                <w:sz w:val="32"/>
                <w:szCs w:val="32"/>
                <w:highlight w:val="none"/>
                <w:lang w:val="en-US" w:eastAsia="zh-CN"/>
              </w:rPr>
              <w:t>邬春宇</w:t>
            </w:r>
          </w:p>
        </w:tc>
        <w:tc>
          <w:tcPr>
            <w:tcW w:w="5337" w:type="dxa"/>
            <w:noWrap w:val="0"/>
            <w:vAlign w:val="center"/>
          </w:tcPr>
          <w:p w14:paraId="4C4219C3">
            <w:pPr>
              <w:spacing w:line="219" w:lineRule="auto"/>
              <w:ind w:left="139" w:leftChars="0"/>
              <w:jc w:val="left"/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乡村振兴</w:t>
            </w: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</w:rPr>
              <w:t>发展</w:t>
            </w: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中心</w:t>
            </w:r>
            <w:r>
              <w:rPr>
                <w:rFonts w:hint="eastAsia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主任</w:t>
            </w:r>
          </w:p>
        </w:tc>
      </w:tr>
      <w:tr w14:paraId="4844A7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47" w:type="dxa"/>
            <w:noWrap w:val="0"/>
            <w:vAlign w:val="center"/>
          </w:tcPr>
          <w:p w14:paraId="0E4159E9">
            <w:pPr>
              <w:widowControl w:val="0"/>
              <w:wordWrap/>
              <w:adjustRightInd/>
              <w:snapToGrid/>
              <w:spacing w:before="125" w:line="221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  <w:t>副组长：陈天华</w:t>
            </w:r>
          </w:p>
        </w:tc>
        <w:tc>
          <w:tcPr>
            <w:tcW w:w="5337" w:type="dxa"/>
            <w:noWrap w:val="0"/>
            <w:vAlign w:val="center"/>
          </w:tcPr>
          <w:p w14:paraId="3D626B22">
            <w:pPr>
              <w:spacing w:before="124" w:line="219" w:lineRule="auto"/>
              <w:ind w:left="139" w:leftChars="0"/>
              <w:jc w:val="left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中心农业技术推广站</w:t>
            </w:r>
            <w:r>
              <w:rPr>
                <w:rFonts w:hint="eastAsia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站长</w:t>
            </w:r>
          </w:p>
        </w:tc>
      </w:tr>
      <w:tr w14:paraId="6C4D05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47" w:type="dxa"/>
            <w:noWrap w:val="0"/>
            <w:vAlign w:val="center"/>
          </w:tcPr>
          <w:p w14:paraId="766CBD6B">
            <w:pPr>
              <w:widowControl w:val="0"/>
              <w:wordWrap/>
              <w:adjustRightInd/>
              <w:snapToGrid/>
              <w:spacing w:before="125" w:line="221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  <w:t>成  员：郭佳昊</w:t>
            </w:r>
          </w:p>
        </w:tc>
        <w:tc>
          <w:tcPr>
            <w:tcW w:w="5337" w:type="dxa"/>
            <w:noWrap w:val="0"/>
            <w:vAlign w:val="center"/>
          </w:tcPr>
          <w:p w14:paraId="07926CD0">
            <w:pPr>
              <w:spacing w:before="124" w:line="219" w:lineRule="auto"/>
              <w:ind w:left="139" w:leftChars="0"/>
              <w:jc w:val="left"/>
              <w:rPr>
                <w:rFonts w:hint="default" w:ascii="Times New Roman" w:hAnsi="Times New Roman" w:eastAsia="仿宋" w:cs="Times New Roman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中心农业技术推广站农艺师</w:t>
            </w:r>
          </w:p>
        </w:tc>
      </w:tr>
      <w:tr w14:paraId="2200DC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47" w:type="dxa"/>
            <w:noWrap w:val="0"/>
            <w:vAlign w:val="center"/>
          </w:tcPr>
          <w:p w14:paraId="22EAA055">
            <w:pPr>
              <w:widowControl w:val="0"/>
              <w:wordWrap/>
              <w:adjustRightInd/>
              <w:snapToGrid/>
              <w:spacing w:before="125" w:line="221" w:lineRule="auto"/>
              <w:ind w:left="1304"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spacing w:val="5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  <w:t>王立春</w:t>
            </w:r>
          </w:p>
        </w:tc>
        <w:tc>
          <w:tcPr>
            <w:tcW w:w="5337" w:type="dxa"/>
            <w:noWrap w:val="0"/>
            <w:vAlign w:val="center"/>
          </w:tcPr>
          <w:p w14:paraId="6CDA4C8A">
            <w:pPr>
              <w:spacing w:before="124" w:line="219" w:lineRule="auto"/>
              <w:ind w:left="139" w:leftChars="0"/>
              <w:jc w:val="left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中心农业技术推广站农艺师</w:t>
            </w:r>
          </w:p>
        </w:tc>
      </w:tr>
      <w:tr w14:paraId="68C6B0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47" w:type="dxa"/>
            <w:noWrap w:val="0"/>
            <w:vAlign w:val="center"/>
          </w:tcPr>
          <w:p w14:paraId="639396EF">
            <w:pPr>
              <w:widowControl w:val="0"/>
              <w:wordWrap/>
              <w:adjustRightInd/>
              <w:snapToGrid/>
              <w:spacing w:before="125" w:line="221" w:lineRule="auto"/>
              <w:ind w:left="1304"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spacing w:val="5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  <w:t>刘</w:t>
            </w:r>
            <w:r>
              <w:rPr>
                <w:rFonts w:hint="eastAsia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pacing w:val="5"/>
                <w:sz w:val="32"/>
                <w:szCs w:val="32"/>
                <w:highlight w:val="none"/>
                <w:lang w:val="en-US" w:eastAsia="zh-CN"/>
              </w:rPr>
              <w:t>芳</w:t>
            </w:r>
          </w:p>
        </w:tc>
        <w:tc>
          <w:tcPr>
            <w:tcW w:w="5337" w:type="dxa"/>
            <w:noWrap w:val="0"/>
            <w:vAlign w:val="center"/>
          </w:tcPr>
          <w:p w14:paraId="51890111">
            <w:pPr>
              <w:spacing w:before="124" w:line="219" w:lineRule="auto"/>
              <w:ind w:left="139" w:leftChars="0"/>
              <w:jc w:val="left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中心农业技术推广站</w:t>
            </w:r>
            <w:r>
              <w:rPr>
                <w:rFonts w:hint="eastAsia" w:eastAsia="仿宋" w:cs="Times New Roman"/>
                <w:spacing w:val="0"/>
                <w:sz w:val="32"/>
                <w:szCs w:val="32"/>
                <w:highlight w:val="none"/>
                <w:lang w:val="en-US" w:eastAsia="zh-CN"/>
              </w:rPr>
              <w:t>助理工程师</w:t>
            </w:r>
          </w:p>
        </w:tc>
      </w:tr>
    </w:tbl>
    <w:p w14:paraId="4C10B3CB">
      <w:pPr>
        <w:ind w:firstLine="160" w:firstLineChars="5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21BE63AB"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3C6BE06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686B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185B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8E28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8E28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6779B"/>
    <w:rsid w:val="42683391"/>
    <w:rsid w:val="4446779B"/>
    <w:rsid w:val="4F706CDC"/>
    <w:rsid w:val="7BEF180D"/>
    <w:rsid w:val="7E77B0D5"/>
    <w:rsid w:val="7F7DCAC4"/>
    <w:rsid w:val="BCD6DC68"/>
    <w:rsid w:val="DFD3544B"/>
    <w:rsid w:val="F1EB257E"/>
    <w:rsid w:val="FD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4661</Words>
  <Characters>4890</Characters>
  <Lines>0</Lines>
  <Paragraphs>0</Paragraphs>
  <TotalTime>44</TotalTime>
  <ScaleCrop>false</ScaleCrop>
  <LinksUpToDate>false</LinksUpToDate>
  <CharactersWithSpaces>5012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2026-05-16T16:09:00Z</dcterms:created>
  <dc:creator>娜</dc:creator>
  <cp:lastModifiedBy>LIAOHE</cp:lastModifiedBy>
  <cp:lastPrinted>2026-07-01T23:29:00Z</cp:lastPrinted>
  <dcterms:modified xsi:type="dcterms:W3CDTF">2026-07-20T14:24:47Z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2394FB5D7D104C81AB825D17BBBF773B_11</vt:lpwstr>
  </property>
  <property fmtid="{D5CDD505-2E9C-101B-9397-08002B2CF9AE}" pid="4" name="KSOTemplateDocerSaveRecord">
    <vt:lpwstr>eyJoZGlkIjoiNDQyNjUwMmU4YTQ1MDQ0MWM5YTFhN2MyZDhlMzlmNjgiLCJ1c2VySWQiOiIzNzQ1NDEzMTYifQ==</vt:lpwstr>
  </property>
</Properties>
</file>