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ADD452">
      <w:pPr>
        <w:spacing w:line="240" w:lineRule="auto"/>
        <w:jc w:val="center"/>
        <w:rPr>
          <w:rFonts w:ascii="宋体" w:hAnsi="宋体" w:eastAsia="宋体" w:cs="宋体"/>
          <w:b/>
          <w:bCs/>
          <w:sz w:val="84"/>
          <w:szCs w:val="84"/>
        </w:rPr>
      </w:pPr>
      <w:r>
        <w:rPr>
          <w:rFonts w:hint="eastAsia" w:ascii="宋体" w:hAnsi="宋体" w:eastAsia="宋体" w:cs="宋体"/>
          <w:b/>
          <w:bCs/>
          <w:sz w:val="84"/>
          <w:szCs w:val="84"/>
        </w:rPr>
        <w:t>沈阳市浑南区人民政府</w:t>
      </w:r>
    </w:p>
    <w:p w14:paraId="262F844A">
      <w:pPr>
        <w:keepNext w:val="0"/>
        <w:keepLines w:val="0"/>
        <w:pageBreakBefore w:val="0"/>
        <w:widowControl w:val="0"/>
        <w:kinsoku/>
        <w:wordWrap/>
        <w:overflowPunct/>
        <w:topLinePunct w:val="0"/>
        <w:autoSpaceDE/>
        <w:autoSpaceDN/>
        <w:bidi w:val="0"/>
        <w:adjustRightInd w:val="0"/>
        <w:snapToGrid/>
        <w:spacing w:before="0" w:after="0" w:line="760" w:lineRule="exact"/>
        <w:jc w:val="center"/>
        <w:textAlignment w:val="baseline"/>
        <w:rPr>
          <w:rFonts w:hint="eastAsia" w:ascii="仿宋" w:hAnsi="仿宋" w:eastAsia="仿宋" w:cs="仿宋"/>
        </w:rPr>
      </w:pPr>
      <w:r>
        <w:rPr>
          <w:rFonts w:hint="eastAsia" w:ascii="宋体" w:hAnsi="宋体" w:cs="宋体"/>
          <w:b/>
          <w:bCs/>
          <w:sz w:val="44"/>
          <w:szCs w:val="44"/>
          <w:lang w:val="en-US" w:eastAsia="zh-CN"/>
        </w:rPr>
        <w:t>不予受理</w:t>
      </w:r>
      <w:r>
        <w:rPr>
          <w:rFonts w:hint="eastAsia" w:ascii="宋体" w:hAnsi="宋体" w:eastAsia="宋体" w:cs="宋体"/>
          <w:b/>
          <w:bCs/>
          <w:sz w:val="44"/>
          <w:szCs w:val="44"/>
        </w:rPr>
        <w:t>行政复议</w:t>
      </w:r>
      <w:r>
        <w:rPr>
          <w:rFonts w:hint="eastAsia" w:ascii="宋体" w:hAnsi="宋体" w:cs="宋体"/>
          <w:b/>
          <w:bCs/>
          <w:sz w:val="44"/>
          <w:szCs w:val="44"/>
          <w:lang w:val="en-US" w:eastAsia="zh-CN"/>
        </w:rPr>
        <w:t>申请</w:t>
      </w:r>
      <w:r>
        <w:rPr>
          <w:rFonts w:hint="eastAsia" w:ascii="宋体" w:hAnsi="宋体" w:eastAsia="宋体" w:cs="宋体"/>
          <w:b/>
          <w:bCs/>
          <w:sz w:val="44"/>
          <w:szCs w:val="44"/>
        </w:rPr>
        <w:t>决定书</w:t>
      </w:r>
    </w:p>
    <w:p w14:paraId="628A0CB9">
      <w:pPr>
        <w:keepNext w:val="0"/>
        <w:keepLines w:val="0"/>
        <w:pageBreakBefore w:val="0"/>
        <w:widowControl/>
        <w:kinsoku/>
        <w:wordWrap/>
        <w:overflowPunct/>
        <w:topLinePunct w:val="0"/>
        <w:autoSpaceDE/>
        <w:autoSpaceDN/>
        <w:bidi w:val="0"/>
        <w:adjustRightInd/>
        <w:snapToGrid/>
        <w:spacing w:before="319" w:beforeLines="100" w:after="319" w:afterLines="100" w:line="560" w:lineRule="exact"/>
        <w:ind w:firstLine="5440" w:firstLineChars="1700"/>
        <w:textAlignment w:val="auto"/>
        <w:rPr>
          <w:rFonts w:hint="eastAsia" w:ascii="仿宋" w:hAnsi="仿宋" w:eastAsia="仿宋" w:cs="仿宋"/>
          <w:sz w:val="32"/>
          <w:szCs w:val="32"/>
        </w:rPr>
      </w:pPr>
      <w:r>
        <w:rPr>
          <w:rFonts w:hint="eastAsia" w:ascii="仿宋" w:hAnsi="仿宋" w:eastAsia="仿宋" w:cs="仿宋"/>
          <w:sz w:val="32"/>
          <w:szCs w:val="32"/>
        </w:rPr>
        <w:t>沈浑政复</w:t>
      </w:r>
      <w:r>
        <w:rPr>
          <w:rFonts w:hint="eastAsia" w:ascii="仿宋" w:hAnsi="仿宋" w:eastAsia="仿宋" w:cs="仿宋"/>
          <w:b w:val="0"/>
          <w:bCs w:val="0"/>
          <w:color w:val="auto"/>
          <w:sz w:val="32"/>
          <w:szCs w:val="32"/>
        </w:rPr>
        <w:t>〔</w:t>
      </w: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6</w:t>
      </w:r>
      <w:r>
        <w:rPr>
          <w:rFonts w:hint="eastAsia" w:ascii="仿宋" w:hAnsi="仿宋" w:eastAsia="仿宋" w:cs="仿宋"/>
          <w:b w:val="0"/>
          <w:bCs w:val="0"/>
          <w:color w:val="auto"/>
          <w:sz w:val="32"/>
          <w:szCs w:val="32"/>
        </w:rPr>
        <w:t>〕</w:t>
      </w:r>
      <w:r>
        <w:rPr>
          <w:rFonts w:hint="eastAsia" w:ascii="仿宋" w:hAnsi="仿宋" w:eastAsia="仿宋" w:cs="仿宋"/>
          <w:b w:val="0"/>
          <w:bCs w:val="0"/>
          <w:color w:val="auto"/>
          <w:sz w:val="32"/>
          <w:szCs w:val="32"/>
          <w:lang w:val="en-US" w:eastAsia="zh-CN"/>
        </w:rPr>
        <w:t>431</w:t>
      </w:r>
      <w:r>
        <w:rPr>
          <w:rFonts w:hint="eastAsia" w:ascii="仿宋" w:hAnsi="仿宋" w:eastAsia="仿宋" w:cs="仿宋"/>
          <w:sz w:val="32"/>
          <w:szCs w:val="32"/>
        </w:rPr>
        <w:t>号</w:t>
      </w:r>
    </w:p>
    <w:p w14:paraId="6B9F8A0C">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rPr>
        <w:t>申请人</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王焱磊</w:t>
      </w:r>
      <w:r>
        <w:rPr>
          <w:rFonts w:hint="eastAsia" w:ascii="仿宋" w:hAnsi="仿宋" w:eastAsia="仿宋" w:cs="仿宋"/>
          <w:sz w:val="32"/>
          <w:szCs w:val="32"/>
        </w:rPr>
        <w:t>，</w:t>
      </w:r>
      <w:r>
        <w:rPr>
          <w:rFonts w:hint="eastAsia" w:ascii="仿宋" w:hAnsi="仿宋" w:eastAsia="仿宋" w:cs="仿宋"/>
          <w:sz w:val="32"/>
          <w:szCs w:val="32"/>
          <w:lang w:eastAsia="zh-CN"/>
        </w:rPr>
        <w:t>男</w:t>
      </w:r>
      <w:r>
        <w:rPr>
          <w:rFonts w:hint="eastAsia" w:ascii="仿宋" w:hAnsi="仿宋" w:eastAsia="仿宋" w:cs="仿宋"/>
          <w:sz w:val="32"/>
          <w:szCs w:val="32"/>
        </w:rPr>
        <w:t>，</w:t>
      </w:r>
      <w:r>
        <w:rPr>
          <w:rFonts w:hint="eastAsia" w:ascii="仿宋" w:hAnsi="仿宋" w:eastAsia="仿宋" w:cs="仿宋"/>
          <w:sz w:val="32"/>
          <w:szCs w:val="32"/>
          <w:lang w:val="en-US" w:eastAsia="zh-CN"/>
        </w:rPr>
        <w:t>1990</w:t>
      </w:r>
      <w:r>
        <w:rPr>
          <w:rFonts w:hint="eastAsia" w:ascii="仿宋" w:hAnsi="仿宋" w:eastAsia="仿宋" w:cs="仿宋"/>
          <w:sz w:val="32"/>
          <w:szCs w:val="32"/>
        </w:rPr>
        <w:t>年</w:t>
      </w:r>
      <w:r>
        <w:rPr>
          <w:rFonts w:hint="eastAsia" w:ascii="仿宋" w:hAnsi="仿宋" w:eastAsia="仿宋" w:cs="仿宋"/>
          <w:sz w:val="32"/>
          <w:szCs w:val="32"/>
          <w:lang w:val="en-US" w:eastAsia="zh-CN"/>
        </w:rPr>
        <w:t>5</w:t>
      </w:r>
      <w:r>
        <w:rPr>
          <w:rFonts w:hint="eastAsia" w:ascii="仿宋" w:hAnsi="仿宋" w:eastAsia="仿宋" w:cs="仿宋"/>
          <w:sz w:val="32"/>
          <w:szCs w:val="32"/>
        </w:rPr>
        <w:t>月</w:t>
      </w:r>
      <w:r>
        <w:rPr>
          <w:rFonts w:hint="eastAsia" w:ascii="仿宋" w:hAnsi="仿宋" w:eastAsia="仿宋" w:cs="仿宋"/>
          <w:sz w:val="32"/>
          <w:szCs w:val="32"/>
          <w:lang w:val="en-US" w:eastAsia="zh-CN"/>
        </w:rPr>
        <w:t>23</w:t>
      </w:r>
      <w:r>
        <w:rPr>
          <w:rFonts w:hint="eastAsia" w:ascii="仿宋" w:hAnsi="仿宋" w:eastAsia="仿宋" w:cs="仿宋"/>
          <w:sz w:val="32"/>
          <w:szCs w:val="32"/>
        </w:rPr>
        <w:t>日生</w:t>
      </w:r>
      <w:r>
        <w:rPr>
          <w:rFonts w:hint="eastAsia" w:ascii="仿宋" w:hAnsi="仿宋" w:eastAsia="仿宋" w:cs="仿宋"/>
          <w:sz w:val="32"/>
          <w:szCs w:val="32"/>
          <w:lang w:eastAsia="zh-CN"/>
        </w:rPr>
        <w:t>。</w:t>
      </w:r>
    </w:p>
    <w:p w14:paraId="23088365">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lang w:eastAsia="zh-CN"/>
        </w:rPr>
        <w:t>住址：江苏省连云港市青口镇新城一号代收点</w:t>
      </w:r>
      <w:r>
        <w:rPr>
          <w:rFonts w:hint="eastAsia" w:ascii="仿宋" w:hAnsi="仿宋" w:eastAsia="仿宋" w:cs="仿宋"/>
          <w:sz w:val="32"/>
          <w:szCs w:val="32"/>
          <w:lang w:val="en-US" w:eastAsia="zh-CN"/>
        </w:rPr>
        <w:t>。</w:t>
      </w:r>
    </w:p>
    <w:p w14:paraId="10A2CE05">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rPr>
        <w:t>被申请人：沈阳市浑南区市场监督管理局</w:t>
      </w:r>
      <w:r>
        <w:rPr>
          <w:rFonts w:hint="eastAsia" w:ascii="仿宋" w:hAnsi="仿宋" w:eastAsia="仿宋" w:cs="仿宋"/>
          <w:sz w:val="32"/>
          <w:szCs w:val="32"/>
          <w:lang w:eastAsia="zh-CN"/>
        </w:rPr>
        <w:t>。</w:t>
      </w:r>
    </w:p>
    <w:p w14:paraId="128751D3">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b w:val="0"/>
          <w:bCs/>
          <w:sz w:val="32"/>
          <w:szCs w:val="32"/>
          <w:lang w:eastAsia="zh-CN"/>
        </w:rPr>
      </w:pPr>
      <w:r>
        <w:rPr>
          <w:rFonts w:hint="eastAsia" w:ascii="仿宋" w:hAnsi="仿宋" w:eastAsia="仿宋" w:cs="仿宋"/>
          <w:b w:val="0"/>
          <w:bCs/>
          <w:sz w:val="32"/>
          <w:szCs w:val="32"/>
        </w:rPr>
        <w:t>住所地：沈阳市浑南区新隆街8号</w:t>
      </w:r>
      <w:r>
        <w:rPr>
          <w:rFonts w:hint="eastAsia" w:ascii="仿宋" w:hAnsi="仿宋" w:eastAsia="仿宋" w:cs="仿宋"/>
          <w:b w:val="0"/>
          <w:bCs/>
          <w:sz w:val="32"/>
          <w:szCs w:val="32"/>
          <w:lang w:val="en-US" w:eastAsia="zh-CN"/>
        </w:rPr>
        <w:t>安姆大厦</w:t>
      </w:r>
      <w:r>
        <w:rPr>
          <w:rFonts w:hint="eastAsia" w:ascii="仿宋" w:hAnsi="仿宋" w:eastAsia="仿宋" w:cs="仿宋"/>
          <w:b w:val="0"/>
          <w:bCs/>
          <w:sz w:val="32"/>
          <w:szCs w:val="32"/>
        </w:rPr>
        <w:t>C座</w:t>
      </w:r>
      <w:r>
        <w:rPr>
          <w:rFonts w:hint="eastAsia" w:ascii="仿宋" w:hAnsi="仿宋" w:eastAsia="仿宋" w:cs="仿宋"/>
          <w:b w:val="0"/>
          <w:bCs/>
          <w:sz w:val="32"/>
          <w:szCs w:val="32"/>
          <w:lang w:eastAsia="zh-CN"/>
        </w:rPr>
        <w:t>。</w:t>
      </w:r>
    </w:p>
    <w:p w14:paraId="68437E8F">
      <w:pPr>
        <w:pStyle w:val="2"/>
        <w:spacing w:line="580" w:lineRule="exact"/>
        <w:ind w:firstLine="640" w:firstLineChars="200"/>
        <w:rPr>
          <w:rFonts w:hint="eastAsia" w:ascii="仿宋" w:hAnsi="仿宋" w:eastAsia="仿宋" w:cs="仿宋"/>
          <w:sz w:val="32"/>
          <w:szCs w:val="32"/>
        </w:rPr>
      </w:pPr>
      <w:r>
        <w:rPr>
          <w:rFonts w:hint="eastAsia" w:ascii="仿宋" w:hAnsi="仿宋" w:eastAsia="仿宋" w:cs="仿宋"/>
          <w:b w:val="0"/>
          <w:bCs/>
          <w:sz w:val="32"/>
          <w:szCs w:val="32"/>
          <w:lang w:eastAsia="zh-CN"/>
        </w:rPr>
        <w:t>法定代表人：</w:t>
      </w:r>
      <w:r>
        <w:rPr>
          <w:rFonts w:hint="eastAsia" w:ascii="仿宋" w:hAnsi="仿宋" w:eastAsia="仿宋" w:cs="仿宋"/>
          <w:b w:val="0"/>
          <w:bCs/>
          <w:sz w:val="32"/>
          <w:szCs w:val="32"/>
          <w:lang w:val="en-US" w:eastAsia="zh-CN"/>
        </w:rPr>
        <w:t>陈勇</w:t>
      </w:r>
      <w:r>
        <w:rPr>
          <w:rFonts w:hint="eastAsia" w:ascii="仿宋" w:hAnsi="仿宋" w:eastAsia="仿宋" w:cs="仿宋"/>
          <w:b w:val="0"/>
          <w:bCs/>
          <w:sz w:val="32"/>
          <w:szCs w:val="32"/>
          <w:lang w:eastAsia="zh-CN"/>
        </w:rPr>
        <w:t>，职务：局长。</w:t>
      </w:r>
    </w:p>
    <w:p w14:paraId="77B0E4EE">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kern w:val="0"/>
          <w:sz w:val="32"/>
          <w:szCs w:val="32"/>
          <w:lang w:eastAsia="zh-CN"/>
        </w:rPr>
      </w:pPr>
      <w:r>
        <w:rPr>
          <w:rFonts w:hint="eastAsia" w:ascii="仿宋" w:hAnsi="仿宋" w:eastAsia="仿宋" w:cs="仿宋"/>
          <w:kern w:val="0"/>
          <w:sz w:val="32"/>
          <w:szCs w:val="32"/>
          <w:lang w:val="en-US" w:eastAsia="zh-CN"/>
        </w:rPr>
        <w:t>申请人通过12315平台向被申请人</w:t>
      </w:r>
      <w:r>
        <w:rPr>
          <w:rFonts w:hint="eastAsia" w:ascii="仿宋" w:hAnsi="仿宋" w:eastAsia="仿宋" w:cs="仿宋"/>
          <w:color w:val="000000" w:themeColor="text1"/>
          <w:sz w:val="32"/>
          <w:szCs w:val="32"/>
          <w:lang w:val="en-US" w:eastAsia="zh-CN"/>
          <w14:textFill>
            <w14:solidFill>
              <w14:schemeClr w14:val="tx1"/>
            </w14:solidFill>
          </w14:textFill>
        </w:rPr>
        <w:t>举报</w:t>
      </w:r>
      <w:r>
        <w:rPr>
          <w:rFonts w:hint="eastAsia" w:ascii="仿宋" w:hAnsi="仿宋" w:eastAsia="仿宋" w:cs="仿宋"/>
          <w:b w:val="0"/>
          <w:bCs/>
          <w:color w:val="auto"/>
          <w:sz w:val="32"/>
          <w:szCs w:val="32"/>
          <w:highlight w:val="none"/>
          <w:lang w:val="en-US" w:eastAsia="zh-CN"/>
        </w:rPr>
        <w:t>沈阳五众供应链管理有限公司销售</w:t>
      </w:r>
      <w:r>
        <w:rPr>
          <w:rFonts w:hint="eastAsia" w:ascii="仿宋" w:hAnsi="仿宋" w:eastAsia="仿宋" w:cs="仿宋"/>
          <w:color w:val="000000" w:themeColor="text1"/>
          <w:sz w:val="32"/>
          <w:szCs w:val="32"/>
          <w:lang w:val="en-US" w:eastAsia="zh-CN"/>
          <w14:textFill>
            <w14:solidFill>
              <w14:schemeClr w14:val="tx1"/>
            </w14:solidFill>
          </w14:textFill>
        </w:rPr>
        <w:t>的果酒涉嫌</w:t>
      </w:r>
      <w:r>
        <w:rPr>
          <w:rFonts w:hint="eastAsia" w:ascii="仿宋" w:hAnsi="仿宋" w:eastAsia="仿宋" w:cs="仿宋"/>
          <w:kern w:val="0"/>
          <w:sz w:val="32"/>
          <w:szCs w:val="32"/>
          <w:lang w:val="en-US" w:eastAsia="zh-CN"/>
        </w:rPr>
        <w:t>违反相关法律规定，申请人对被申请人于2026年7月2日作出的不立案决定不服，于2026年8月3日</w:t>
      </w:r>
      <w:r>
        <w:rPr>
          <w:rFonts w:hint="eastAsia" w:ascii="仿宋" w:hAnsi="仿宋" w:eastAsia="仿宋" w:cs="仿宋"/>
          <w:kern w:val="0"/>
          <w:sz w:val="32"/>
          <w:szCs w:val="32"/>
        </w:rPr>
        <w:t>向本机关提出行政复议申请</w:t>
      </w:r>
      <w:r>
        <w:rPr>
          <w:rFonts w:hint="eastAsia" w:ascii="仿宋" w:hAnsi="仿宋" w:eastAsia="仿宋" w:cs="仿宋"/>
          <w:kern w:val="0"/>
          <w:sz w:val="32"/>
          <w:szCs w:val="32"/>
          <w:lang w:eastAsia="zh-CN"/>
        </w:rPr>
        <w:t>，</w:t>
      </w:r>
      <w:r>
        <w:rPr>
          <w:rFonts w:hint="eastAsia" w:ascii="仿宋" w:hAnsi="仿宋" w:eastAsia="仿宋" w:cs="仿宋"/>
          <w:sz w:val="32"/>
          <w:szCs w:val="32"/>
          <w:lang w:val="en-US" w:eastAsia="zh-CN"/>
        </w:rPr>
        <w:t>请求撤销举报回复，责令被申请人依法重新核查并书面答复处理意见。</w:t>
      </w:r>
    </w:p>
    <w:p w14:paraId="2ADBA259">
      <w:pPr>
        <w:keepNext w:val="0"/>
        <w:keepLines w:val="0"/>
        <w:widowControl w:val="0"/>
        <w:suppressLineNumbers w:val="0"/>
        <w:pBdr>
          <w:top w:val="none" w:color="auto" w:sz="0" w:space="0"/>
          <w:left w:val="none" w:color="auto" w:sz="0" w:space="0"/>
          <w:right w:val="none" w:color="auto" w:sz="0" w:space="0"/>
        </w:pBdr>
        <w:shd w:val="clear" w:fill="FFFFFF"/>
        <w:wordWrap/>
        <w:spacing w:before="0" w:beforeAutospacing="0" w:after="0" w:afterAutospacing="0" w:line="580" w:lineRule="exact"/>
        <w:ind w:left="0" w:right="0" w:firstLine="640" w:firstLineChars="200"/>
        <w:jc w:val="both"/>
        <w:rPr>
          <w:rFonts w:hint="eastAsia" w:ascii="仿宋" w:hAnsi="仿宋" w:eastAsia="仿宋" w:cs="仿宋"/>
          <w:i w:val="0"/>
          <w:iCs w:val="0"/>
          <w:caps w:val="0"/>
          <w:color w:val="212529"/>
          <w:spacing w:val="0"/>
          <w:kern w:val="0"/>
          <w:sz w:val="32"/>
          <w:szCs w:val="32"/>
        </w:rPr>
      </w:pPr>
      <w:r>
        <w:rPr>
          <w:rFonts w:hint="eastAsia" w:ascii="仿宋" w:hAnsi="仿宋" w:eastAsia="仿宋" w:cs="仿宋"/>
          <w:color w:val="000000" w:themeColor="text1"/>
          <w:kern w:val="0"/>
          <w:sz w:val="32"/>
          <w:szCs w:val="32"/>
          <w:lang w:val="en-US" w:eastAsia="zh-CN"/>
          <w14:textFill>
            <w14:solidFill>
              <w14:schemeClr w14:val="tx1"/>
            </w14:solidFill>
          </w14:textFill>
        </w:rPr>
        <w:t>本机关认为：</w:t>
      </w:r>
      <w:r>
        <w:rPr>
          <w:rFonts w:hint="eastAsia" w:ascii="仿宋" w:hAnsi="仿宋" w:eastAsia="仿宋" w:cs="仿宋"/>
          <w:i w:val="0"/>
          <w:iCs w:val="0"/>
          <w:caps w:val="0"/>
          <w:color w:val="212529"/>
          <w:spacing w:val="0"/>
          <w:kern w:val="0"/>
          <w:sz w:val="32"/>
          <w:szCs w:val="32"/>
          <w:shd w:val="clear" w:fill="FFFFFF"/>
        </w:rPr>
        <w:t>根据《中华人民共和国行政复议法》第三十条第一款第</w:t>
      </w:r>
      <w:r>
        <w:rPr>
          <w:rFonts w:hint="eastAsia" w:ascii="仿宋" w:hAnsi="仿宋" w:eastAsia="仿宋" w:cs="仿宋"/>
          <w:i w:val="0"/>
          <w:iCs w:val="0"/>
          <w:caps w:val="0"/>
          <w:color w:val="212529"/>
          <w:spacing w:val="0"/>
          <w:kern w:val="0"/>
          <w:sz w:val="32"/>
          <w:szCs w:val="32"/>
          <w:shd w:val="clear" w:fill="FFFFFF"/>
          <w:lang w:eastAsia="zh-CN"/>
        </w:rPr>
        <w:t>（</w:t>
      </w:r>
      <w:r>
        <w:rPr>
          <w:rFonts w:hint="eastAsia" w:ascii="仿宋" w:hAnsi="仿宋" w:eastAsia="仿宋" w:cs="仿宋"/>
          <w:i w:val="0"/>
          <w:iCs w:val="0"/>
          <w:caps w:val="0"/>
          <w:color w:val="212529"/>
          <w:spacing w:val="0"/>
          <w:kern w:val="0"/>
          <w:sz w:val="32"/>
          <w:szCs w:val="32"/>
          <w:shd w:val="clear" w:fill="FFFFFF"/>
        </w:rPr>
        <w:t>二</w:t>
      </w:r>
      <w:r>
        <w:rPr>
          <w:rFonts w:hint="eastAsia" w:ascii="仿宋" w:hAnsi="仿宋" w:eastAsia="仿宋" w:cs="仿宋"/>
          <w:i w:val="0"/>
          <w:iCs w:val="0"/>
          <w:caps w:val="0"/>
          <w:color w:val="212529"/>
          <w:spacing w:val="0"/>
          <w:kern w:val="0"/>
          <w:sz w:val="32"/>
          <w:szCs w:val="32"/>
          <w:shd w:val="clear" w:fill="FFFFFF"/>
          <w:lang w:eastAsia="zh-CN"/>
        </w:rPr>
        <w:t>）</w:t>
      </w:r>
      <w:r>
        <w:rPr>
          <w:rFonts w:hint="eastAsia" w:ascii="仿宋" w:hAnsi="仿宋" w:eastAsia="仿宋" w:cs="仿宋"/>
          <w:i w:val="0"/>
          <w:iCs w:val="0"/>
          <w:caps w:val="0"/>
          <w:color w:val="212529"/>
          <w:spacing w:val="0"/>
          <w:kern w:val="0"/>
          <w:sz w:val="32"/>
          <w:szCs w:val="32"/>
          <w:shd w:val="clear" w:fill="FFFFFF"/>
        </w:rPr>
        <w:t>项规定，申请人与被复议的行政行为有利害关系，是行政复议申请受理的必要条件之一。《最高人民法院关于举报人对行政机关就举报事项作出的处理或者不作为行为不服是否具有行政复议申请人资格问题的答复》</w:t>
      </w:r>
      <w:r>
        <w:rPr>
          <w:rFonts w:hint="eastAsia" w:ascii="仿宋" w:hAnsi="仿宋" w:eastAsia="仿宋" w:cs="仿宋"/>
          <w:i w:val="0"/>
          <w:iCs w:val="0"/>
          <w:caps w:val="0"/>
          <w:color w:val="212529"/>
          <w:spacing w:val="0"/>
          <w:kern w:val="0"/>
          <w:sz w:val="32"/>
          <w:szCs w:val="32"/>
          <w:shd w:val="clear" w:fill="FFFFFF"/>
          <w:lang w:eastAsia="zh-CN"/>
        </w:rPr>
        <w:t>（【</w:t>
      </w:r>
      <w:r>
        <w:rPr>
          <w:rFonts w:hint="eastAsia" w:ascii="仿宋" w:hAnsi="仿宋" w:eastAsia="仿宋" w:cs="仿宋"/>
          <w:i w:val="0"/>
          <w:iCs w:val="0"/>
          <w:caps w:val="0"/>
          <w:color w:val="212529"/>
          <w:spacing w:val="0"/>
          <w:kern w:val="0"/>
          <w:sz w:val="32"/>
          <w:szCs w:val="32"/>
          <w:shd w:val="clear" w:fill="FFFFFF"/>
        </w:rPr>
        <w:t>2013</w:t>
      </w:r>
      <w:r>
        <w:rPr>
          <w:rFonts w:hint="eastAsia" w:ascii="仿宋" w:hAnsi="仿宋" w:eastAsia="仿宋" w:cs="仿宋"/>
          <w:i w:val="0"/>
          <w:iCs w:val="0"/>
          <w:caps w:val="0"/>
          <w:color w:val="212529"/>
          <w:spacing w:val="0"/>
          <w:kern w:val="0"/>
          <w:sz w:val="32"/>
          <w:szCs w:val="32"/>
          <w:shd w:val="clear" w:fill="FFFFFF"/>
          <w:lang w:eastAsia="zh-CN"/>
        </w:rPr>
        <w:t>】</w:t>
      </w:r>
      <w:r>
        <w:rPr>
          <w:rFonts w:hint="eastAsia" w:ascii="仿宋" w:hAnsi="仿宋" w:eastAsia="仿宋" w:cs="仿宋"/>
          <w:i w:val="0"/>
          <w:iCs w:val="0"/>
          <w:caps w:val="0"/>
          <w:color w:val="212529"/>
          <w:spacing w:val="0"/>
          <w:kern w:val="0"/>
          <w:sz w:val="32"/>
          <w:szCs w:val="32"/>
          <w:shd w:val="clear" w:fill="FFFFFF"/>
        </w:rPr>
        <w:t>行他字第14号</w:t>
      </w:r>
      <w:r>
        <w:rPr>
          <w:rFonts w:hint="eastAsia" w:ascii="仿宋" w:hAnsi="仿宋" w:eastAsia="仿宋" w:cs="仿宋"/>
          <w:i w:val="0"/>
          <w:iCs w:val="0"/>
          <w:caps w:val="0"/>
          <w:color w:val="212529"/>
          <w:spacing w:val="0"/>
          <w:kern w:val="0"/>
          <w:sz w:val="32"/>
          <w:szCs w:val="32"/>
          <w:shd w:val="clear" w:fill="FFFFFF"/>
          <w:lang w:eastAsia="zh-CN"/>
        </w:rPr>
        <w:t>）</w:t>
      </w:r>
      <w:r>
        <w:rPr>
          <w:rFonts w:hint="eastAsia" w:ascii="仿宋" w:hAnsi="仿宋" w:eastAsia="仿宋" w:cs="仿宋"/>
          <w:i w:val="0"/>
          <w:iCs w:val="0"/>
          <w:caps w:val="0"/>
          <w:color w:val="212529"/>
          <w:spacing w:val="0"/>
          <w:kern w:val="0"/>
          <w:sz w:val="32"/>
          <w:szCs w:val="32"/>
          <w:shd w:val="clear" w:fill="FFFFFF"/>
        </w:rPr>
        <w:t>规定</w:t>
      </w:r>
      <w:r>
        <w:rPr>
          <w:rFonts w:hint="eastAsia" w:ascii="仿宋" w:hAnsi="仿宋" w:eastAsia="仿宋" w:cs="仿宋"/>
          <w:i w:val="0"/>
          <w:iCs w:val="0"/>
          <w:caps w:val="0"/>
          <w:color w:val="212529"/>
          <w:spacing w:val="0"/>
          <w:kern w:val="0"/>
          <w:sz w:val="32"/>
          <w:szCs w:val="32"/>
          <w:shd w:val="clear" w:fill="FFFFFF"/>
          <w:lang w:eastAsia="zh-CN"/>
        </w:rPr>
        <w:t>：</w:t>
      </w:r>
      <w:r>
        <w:rPr>
          <w:rFonts w:hint="eastAsia" w:ascii="仿宋" w:hAnsi="仿宋" w:eastAsia="仿宋" w:cs="仿宋"/>
          <w:i w:val="0"/>
          <w:iCs w:val="0"/>
          <w:caps w:val="0"/>
          <w:color w:val="212529"/>
          <w:spacing w:val="0"/>
          <w:kern w:val="0"/>
          <w:sz w:val="32"/>
          <w:szCs w:val="32"/>
          <w:shd w:val="clear" w:fill="FFFFFF"/>
        </w:rPr>
        <w:t>“……举报人为维护自身合法权益而举报相关违法行为人，要求行政机关查处，对行政机关就举报事项作出的处理或者不作为行为不服申请行政复议的，具有行政复议申请人资格。”根据上述规定，举报人是否具有对举报事项处理行为提起行政复议的申请人资格，判断依据是举报人是否为维护自身合法权益而举报相关违法行为。</w:t>
      </w:r>
      <w:r>
        <w:rPr>
          <w:rFonts w:hint="eastAsia" w:ascii="仿宋" w:hAnsi="仿宋" w:eastAsia="仿宋" w:cs="仿宋"/>
          <w:i w:val="0"/>
          <w:iCs w:val="0"/>
          <w:caps w:val="0"/>
          <w:color w:val="212529"/>
          <w:spacing w:val="0"/>
          <w:kern w:val="0"/>
          <w:sz w:val="32"/>
          <w:szCs w:val="32"/>
          <w:shd w:val="clear" w:fill="FFFFFF"/>
          <w:lang w:val="en-US" w:eastAsia="zh-CN"/>
        </w:rPr>
        <w:t>本案中，</w:t>
      </w:r>
      <w:r>
        <w:rPr>
          <w:rFonts w:hint="eastAsia" w:ascii="仿宋" w:hAnsi="仿宋" w:eastAsia="仿宋" w:cs="仿宋"/>
          <w:i w:val="0"/>
          <w:iCs w:val="0"/>
          <w:caps w:val="0"/>
          <w:color w:val="212529"/>
          <w:spacing w:val="0"/>
          <w:kern w:val="0"/>
          <w:sz w:val="32"/>
          <w:szCs w:val="32"/>
          <w:shd w:val="clear" w:fill="FFFFFF"/>
        </w:rPr>
        <w:t>被申请人已对申请人的举报进行调查核实，并将调查处理结果及理由告知申请人，已履行了处理举报事项和告知的法定职责，充分保障了申请人的举报权和知情权。被申请人对案涉违法行为的查处及作出的相关行政行为的行政相对人为被举报人。案涉被举报行为与举报人个人合法权益并无密切关联，故申请人的举报，应属于从公众健康安全秩序层面对公共利益的维护。因此，申请人不属于“为维护自身合法权益”而举报，其与被复议的行政行为无利害关系。</w:t>
      </w:r>
    </w:p>
    <w:p w14:paraId="57A76033">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color w:val="auto"/>
          <w:kern w:val="0"/>
          <w:sz w:val="32"/>
          <w:szCs w:val="32"/>
          <w:lang w:val="en-US" w:eastAsia="zh-CN"/>
        </w:rPr>
      </w:pPr>
      <w:r>
        <w:rPr>
          <w:rFonts w:hint="eastAsia" w:ascii="仿宋" w:hAnsi="仿宋" w:eastAsia="仿宋" w:cs="仿宋"/>
          <w:i w:val="0"/>
          <w:iCs w:val="0"/>
          <w:caps w:val="0"/>
          <w:color w:val="auto"/>
          <w:spacing w:val="0"/>
          <w:kern w:val="0"/>
          <w:sz w:val="32"/>
          <w:szCs w:val="32"/>
          <w:shd w:val="clear" w:fill="auto"/>
        </w:rPr>
        <w:t>另，截至2026年</w:t>
      </w:r>
      <w:r>
        <w:rPr>
          <w:rFonts w:hint="eastAsia" w:ascii="仿宋" w:hAnsi="仿宋" w:eastAsia="仿宋" w:cs="仿宋"/>
          <w:i w:val="0"/>
          <w:iCs w:val="0"/>
          <w:caps w:val="0"/>
          <w:color w:val="auto"/>
          <w:spacing w:val="0"/>
          <w:kern w:val="0"/>
          <w:sz w:val="32"/>
          <w:szCs w:val="32"/>
          <w:shd w:val="clear" w:fill="auto"/>
          <w:lang w:val="en-US" w:eastAsia="zh-CN"/>
        </w:rPr>
        <w:t>8</w:t>
      </w:r>
      <w:r>
        <w:rPr>
          <w:rFonts w:hint="eastAsia" w:ascii="仿宋" w:hAnsi="仿宋" w:eastAsia="仿宋" w:cs="仿宋"/>
          <w:i w:val="0"/>
          <w:iCs w:val="0"/>
          <w:caps w:val="0"/>
          <w:color w:val="auto"/>
          <w:spacing w:val="0"/>
          <w:kern w:val="0"/>
          <w:sz w:val="32"/>
          <w:szCs w:val="32"/>
          <w:shd w:val="clear" w:fill="auto"/>
        </w:rPr>
        <w:t>月</w:t>
      </w:r>
      <w:r>
        <w:rPr>
          <w:rFonts w:hint="eastAsia" w:ascii="仿宋" w:hAnsi="仿宋" w:eastAsia="仿宋" w:cs="仿宋"/>
          <w:i w:val="0"/>
          <w:iCs w:val="0"/>
          <w:caps w:val="0"/>
          <w:color w:val="auto"/>
          <w:spacing w:val="0"/>
          <w:kern w:val="0"/>
          <w:sz w:val="32"/>
          <w:szCs w:val="32"/>
          <w:shd w:val="clear" w:fill="auto"/>
          <w:lang w:val="en-US" w:eastAsia="zh-CN"/>
        </w:rPr>
        <w:t>10</w:t>
      </w:r>
      <w:r>
        <w:rPr>
          <w:rFonts w:hint="eastAsia" w:ascii="仿宋" w:hAnsi="仿宋" w:eastAsia="仿宋" w:cs="仿宋"/>
          <w:i w:val="0"/>
          <w:iCs w:val="0"/>
          <w:caps w:val="0"/>
          <w:color w:val="auto"/>
          <w:spacing w:val="0"/>
          <w:kern w:val="0"/>
          <w:sz w:val="32"/>
          <w:szCs w:val="32"/>
          <w:shd w:val="clear" w:fill="auto"/>
        </w:rPr>
        <w:t>日，</w:t>
      </w:r>
      <w:r>
        <w:rPr>
          <w:rFonts w:hint="eastAsia" w:ascii="仿宋" w:hAnsi="仿宋" w:eastAsia="仿宋" w:cs="仿宋"/>
          <w:i w:val="0"/>
          <w:iCs w:val="0"/>
          <w:caps w:val="0"/>
          <w:color w:val="auto"/>
          <w:spacing w:val="0"/>
          <w:kern w:val="0"/>
          <w:sz w:val="32"/>
          <w:szCs w:val="32"/>
          <w:shd w:val="clear" w:fill="auto"/>
          <w:lang w:val="en-US" w:eastAsia="zh-CN"/>
        </w:rPr>
        <w:t>申请人</w:t>
      </w:r>
      <w:r>
        <w:rPr>
          <w:rFonts w:hint="eastAsia" w:ascii="仿宋" w:hAnsi="仿宋" w:eastAsia="仿宋" w:cs="仿宋"/>
          <w:i w:val="0"/>
          <w:iCs w:val="0"/>
          <w:caps w:val="0"/>
          <w:color w:val="auto"/>
          <w:spacing w:val="0"/>
          <w:kern w:val="0"/>
          <w:sz w:val="32"/>
          <w:szCs w:val="32"/>
          <w:shd w:val="clear" w:fill="auto"/>
        </w:rPr>
        <w:t>累计投诉</w:t>
      </w:r>
      <w:r>
        <w:rPr>
          <w:rFonts w:hint="eastAsia" w:ascii="仿宋" w:hAnsi="仿宋" w:eastAsia="仿宋" w:cs="仿宋"/>
          <w:i w:val="0"/>
          <w:iCs w:val="0"/>
          <w:caps w:val="0"/>
          <w:color w:val="auto"/>
          <w:spacing w:val="0"/>
          <w:kern w:val="0"/>
          <w:sz w:val="32"/>
          <w:szCs w:val="32"/>
          <w:shd w:val="clear" w:fill="auto"/>
          <w:lang w:val="en-US" w:eastAsia="zh-CN"/>
        </w:rPr>
        <w:t>89</w:t>
      </w:r>
      <w:r>
        <w:rPr>
          <w:rFonts w:hint="eastAsia" w:ascii="仿宋" w:hAnsi="仿宋" w:eastAsia="仿宋" w:cs="仿宋"/>
          <w:i w:val="0"/>
          <w:iCs w:val="0"/>
          <w:caps w:val="0"/>
          <w:color w:val="auto"/>
          <w:spacing w:val="0"/>
          <w:kern w:val="0"/>
          <w:sz w:val="32"/>
          <w:szCs w:val="32"/>
          <w:shd w:val="clear" w:fill="auto"/>
        </w:rPr>
        <w:t>次，举报</w:t>
      </w:r>
      <w:r>
        <w:rPr>
          <w:rFonts w:hint="eastAsia" w:ascii="仿宋" w:hAnsi="仿宋" w:eastAsia="仿宋" w:cs="仿宋"/>
          <w:i w:val="0"/>
          <w:iCs w:val="0"/>
          <w:caps w:val="0"/>
          <w:color w:val="auto"/>
          <w:spacing w:val="0"/>
          <w:kern w:val="0"/>
          <w:sz w:val="32"/>
          <w:szCs w:val="32"/>
          <w:shd w:val="clear" w:fill="auto"/>
          <w:lang w:val="en-US" w:eastAsia="zh-CN"/>
        </w:rPr>
        <w:t>5529</w:t>
      </w:r>
      <w:r>
        <w:rPr>
          <w:rFonts w:hint="eastAsia" w:ascii="仿宋" w:hAnsi="仿宋" w:eastAsia="仿宋" w:cs="仿宋"/>
          <w:i w:val="0"/>
          <w:iCs w:val="0"/>
          <w:caps w:val="0"/>
          <w:color w:val="auto"/>
          <w:spacing w:val="0"/>
          <w:kern w:val="0"/>
          <w:sz w:val="32"/>
          <w:szCs w:val="32"/>
          <w:shd w:val="clear" w:fill="auto"/>
        </w:rPr>
        <w:t>次。其投诉、举报频次已明显超出一般个人消费者正常、合理的消费维权范围。</w:t>
      </w:r>
      <w:r>
        <w:rPr>
          <w:rFonts w:hint="eastAsia" w:ascii="仿宋" w:hAnsi="仿宋" w:eastAsia="仿宋" w:cs="仿宋"/>
          <w:color w:val="auto"/>
          <w:kern w:val="0"/>
          <w:sz w:val="32"/>
          <w:szCs w:val="32"/>
          <w:lang w:val="en-US" w:eastAsia="zh-CN"/>
        </w:rPr>
        <w:t>申请人涉案的举报行为并非出于消费者维护自身合法权益的目的，故对被申请人针对其举报作出的处理行为提起的行政复议，不应赋予其复议主体资格。</w:t>
      </w:r>
    </w:p>
    <w:p w14:paraId="7DD62FF7">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i w:val="0"/>
          <w:iCs w:val="0"/>
          <w:caps w:val="0"/>
          <w:color w:val="auto"/>
          <w:spacing w:val="0"/>
          <w:kern w:val="0"/>
          <w:sz w:val="32"/>
          <w:szCs w:val="32"/>
          <w:shd w:val="clear" w:fill="auto"/>
        </w:rPr>
        <w:t>综上，申请人与复议的行政行为没有利害关系，不符合行政复议受理条件。</w:t>
      </w:r>
      <w:r>
        <w:rPr>
          <w:rFonts w:hint="eastAsia" w:ascii="仿宋" w:hAnsi="仿宋" w:eastAsia="仿宋" w:cs="仿宋"/>
          <w:color w:val="auto"/>
          <w:kern w:val="0"/>
          <w:sz w:val="32"/>
          <w:szCs w:val="32"/>
        </w:rPr>
        <w:t>根据《中华人民共和国行政复议法》第</w:t>
      </w:r>
      <w:r>
        <w:rPr>
          <w:rFonts w:hint="eastAsia" w:ascii="仿宋" w:hAnsi="仿宋" w:eastAsia="仿宋" w:cs="仿宋"/>
          <w:color w:val="auto"/>
          <w:kern w:val="0"/>
          <w:sz w:val="32"/>
          <w:szCs w:val="32"/>
          <w:lang w:val="en-US" w:eastAsia="zh-CN"/>
        </w:rPr>
        <w:t>三十条第一款第二项、第二款</w:t>
      </w:r>
      <w:r>
        <w:rPr>
          <w:rFonts w:hint="eastAsia" w:ascii="仿宋" w:hAnsi="仿宋" w:eastAsia="仿宋" w:cs="仿宋"/>
          <w:color w:val="auto"/>
          <w:kern w:val="0"/>
          <w:sz w:val="32"/>
          <w:szCs w:val="32"/>
        </w:rPr>
        <w:t>规定，本机关决定：</w:t>
      </w:r>
    </w:p>
    <w:p w14:paraId="1F19689D">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不予受理申请人</w:t>
      </w:r>
      <w:r>
        <w:rPr>
          <w:rFonts w:hint="eastAsia" w:ascii="仿宋" w:hAnsi="仿宋" w:eastAsia="仿宋" w:cs="仿宋"/>
          <w:sz w:val="32"/>
          <w:szCs w:val="32"/>
          <w:lang w:val="en-US" w:eastAsia="zh-CN"/>
        </w:rPr>
        <w:t>王焱磊</w:t>
      </w:r>
      <w:r>
        <w:rPr>
          <w:rFonts w:hint="eastAsia" w:ascii="仿宋" w:hAnsi="仿宋" w:eastAsia="仿宋" w:cs="仿宋"/>
          <w:color w:val="auto"/>
          <w:kern w:val="0"/>
          <w:sz w:val="32"/>
          <w:szCs w:val="32"/>
        </w:rPr>
        <w:t>的行政复议申请。</w:t>
      </w:r>
    </w:p>
    <w:p w14:paraId="09E8E554">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申请人如对本行政复议决定不服，可以自接到本决定书之日起15日内，依法向</w:t>
      </w:r>
      <w:r>
        <w:rPr>
          <w:rFonts w:hint="eastAsia" w:ascii="仿宋" w:hAnsi="仿宋" w:eastAsia="仿宋" w:cs="仿宋"/>
          <w:color w:val="auto"/>
          <w:kern w:val="0"/>
          <w:sz w:val="32"/>
          <w:szCs w:val="32"/>
          <w:lang w:val="en-US" w:eastAsia="zh-CN"/>
        </w:rPr>
        <w:t>沈阳市中级人民法院提起</w:t>
      </w:r>
      <w:r>
        <w:rPr>
          <w:rFonts w:hint="eastAsia" w:ascii="仿宋" w:hAnsi="仿宋" w:eastAsia="仿宋" w:cs="仿宋"/>
          <w:color w:val="auto"/>
          <w:kern w:val="0"/>
          <w:sz w:val="32"/>
          <w:szCs w:val="32"/>
        </w:rPr>
        <w:t>行政诉讼。</w:t>
      </w:r>
    </w:p>
    <w:p w14:paraId="4B58581C">
      <w:pPr>
        <w:keepNext w:val="0"/>
        <w:keepLines w:val="0"/>
        <w:widowControl w:val="0"/>
        <w:suppressLineNumbers w:val="0"/>
        <w:pBdr>
          <w:top w:val="none" w:color="auto" w:sz="0" w:space="0"/>
          <w:left w:val="none" w:color="auto" w:sz="0" w:space="0"/>
          <w:right w:val="none" w:color="auto" w:sz="0" w:space="0"/>
        </w:pBdr>
        <w:shd w:val="clear" w:fill="FFFFFF"/>
        <w:wordWrap/>
        <w:spacing w:before="0" w:beforeAutospacing="0" w:after="0" w:afterAutospacing="0" w:line="580" w:lineRule="exact"/>
        <w:ind w:left="0" w:right="0" w:firstLineChars="200"/>
        <w:jc w:val="both"/>
        <w:rPr>
          <w:rFonts w:hint="eastAsia" w:ascii="仿宋" w:hAnsi="仿宋" w:eastAsia="仿宋" w:cs="仿宋"/>
          <w:i w:val="0"/>
          <w:iCs w:val="0"/>
          <w:caps w:val="0"/>
          <w:color w:val="212529"/>
          <w:spacing w:val="0"/>
          <w:kern w:val="0"/>
          <w:sz w:val="32"/>
          <w:szCs w:val="32"/>
          <w:shd w:val="clear" w:fill="FFFFFF"/>
        </w:rPr>
      </w:pPr>
    </w:p>
    <w:p w14:paraId="4B283F74">
      <w:pPr>
        <w:keepNext w:val="0"/>
        <w:keepLines w:val="0"/>
        <w:pageBreakBefore w:val="0"/>
        <w:widowControl w:val="0"/>
        <w:kinsoku/>
        <w:wordWrap/>
        <w:overflowPunct/>
        <w:topLinePunct w:val="0"/>
        <w:autoSpaceDE/>
        <w:autoSpaceDN/>
        <w:bidi w:val="0"/>
        <w:adjustRightInd/>
        <w:spacing w:line="580" w:lineRule="exact"/>
        <w:ind w:firstLine="640" w:firstLineChars="200"/>
        <w:jc w:val="both"/>
        <w:textAlignment w:val="auto"/>
        <w:rPr>
          <w:rFonts w:hint="eastAsia" w:ascii="仿宋" w:hAnsi="仿宋" w:eastAsia="仿宋" w:cs="仿宋"/>
          <w:color w:val="auto"/>
          <w:kern w:val="0"/>
          <w:sz w:val="32"/>
          <w:szCs w:val="32"/>
        </w:rPr>
      </w:pPr>
    </w:p>
    <w:p w14:paraId="41C62377">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b w:val="0"/>
          <w:bCs w:val="0"/>
          <w:color w:val="auto"/>
          <w:kern w:val="0"/>
          <w:sz w:val="32"/>
          <w:szCs w:val="32"/>
          <w:highlight w:val="none"/>
        </w:rPr>
      </w:pPr>
    </w:p>
    <w:p w14:paraId="00DDA49E">
      <w:pPr>
        <w:keepNext w:val="0"/>
        <w:keepLines w:val="0"/>
        <w:pageBreakBefore w:val="0"/>
        <w:widowControl w:val="0"/>
        <w:kinsoku/>
        <w:wordWrap/>
        <w:overflowPunct/>
        <w:topLinePunct w:val="0"/>
        <w:autoSpaceDE/>
        <w:autoSpaceDN/>
        <w:bidi w:val="0"/>
        <w:adjustRightInd/>
        <w:snapToGrid/>
        <w:spacing w:line="580" w:lineRule="exact"/>
        <w:ind w:right="0" w:rightChars="0" w:firstLine="4800" w:firstLineChars="1500"/>
        <w:jc w:val="both"/>
        <w:textAlignment w:val="auto"/>
        <w:rPr>
          <w:rFonts w:hint="eastAsia" w:ascii="仿宋" w:hAnsi="仿宋" w:eastAsia="仿宋" w:cs="仿宋"/>
          <w:b w:val="0"/>
          <w:bCs w:val="0"/>
          <w:color w:val="auto"/>
          <w:kern w:val="0"/>
          <w:sz w:val="32"/>
          <w:szCs w:val="32"/>
        </w:rPr>
      </w:pPr>
      <w:r>
        <w:rPr>
          <w:rFonts w:hint="eastAsia" w:ascii="仿宋" w:hAnsi="仿宋" w:eastAsia="仿宋" w:cs="仿宋"/>
          <w:b w:val="0"/>
          <w:bCs w:val="0"/>
          <w:color w:val="auto"/>
          <w:kern w:val="0"/>
          <w:sz w:val="32"/>
          <w:szCs w:val="32"/>
        </w:rPr>
        <w:t>沈阳市浑南区人民政府</w:t>
      </w:r>
    </w:p>
    <w:p w14:paraId="1E09D72F">
      <w:pPr>
        <w:keepNext w:val="0"/>
        <w:keepLines w:val="0"/>
        <w:pageBreakBefore w:val="0"/>
        <w:widowControl w:val="0"/>
        <w:kinsoku/>
        <w:wordWrap/>
        <w:overflowPunct/>
        <w:topLinePunct w:val="0"/>
        <w:autoSpaceDE/>
        <w:autoSpaceDN/>
        <w:bidi w:val="0"/>
        <w:adjustRightInd/>
        <w:snapToGrid/>
        <w:spacing w:line="580" w:lineRule="exact"/>
        <w:ind w:right="1050" w:rightChars="500" w:firstLine="640" w:firstLineChars="200"/>
        <w:jc w:val="both"/>
        <w:textAlignment w:val="auto"/>
        <w:rPr>
          <w:rFonts w:hint="eastAsia" w:ascii="仿宋" w:hAnsi="仿宋" w:eastAsia="仿宋" w:cs="仿宋"/>
          <w:b w:val="0"/>
          <w:bCs w:val="0"/>
          <w:kern w:val="0"/>
          <w:sz w:val="32"/>
          <w:szCs w:val="32"/>
          <w:lang w:eastAsia="zh-CN"/>
        </w:rPr>
        <w:sectPr>
          <w:footerReference r:id="rId3" w:type="default"/>
          <w:pgSz w:w="11906" w:h="16838"/>
          <w:pgMar w:top="1984" w:right="1474" w:bottom="1928" w:left="1587" w:header="850" w:footer="992" w:gutter="0"/>
          <w:pgNumType w:fmt="decimal"/>
          <w:cols w:space="720" w:num="1"/>
          <w:docGrid w:type="lines" w:linePitch="318" w:charSpace="0"/>
        </w:sectPr>
      </w:pPr>
      <w:r>
        <w:rPr>
          <w:rFonts w:hint="eastAsia" w:ascii="仿宋" w:hAnsi="仿宋" w:eastAsia="仿宋" w:cs="仿宋"/>
          <w:b w:val="0"/>
          <w:bCs w:val="0"/>
          <w:kern w:val="0"/>
          <w:sz w:val="32"/>
          <w:szCs w:val="32"/>
          <w:lang w:val="en-US" w:eastAsia="zh-CN"/>
        </w:rPr>
        <w:t xml:space="preserve">                             </w:t>
      </w:r>
      <w:r>
        <w:rPr>
          <w:rFonts w:hint="eastAsia" w:ascii="仿宋" w:hAnsi="仿宋" w:eastAsia="仿宋" w:cs="仿宋"/>
          <w:b w:val="0"/>
          <w:bCs w:val="0"/>
          <w:kern w:val="0"/>
          <w:sz w:val="32"/>
          <w:szCs w:val="32"/>
        </w:rPr>
        <w:t>202</w:t>
      </w:r>
      <w:r>
        <w:rPr>
          <w:rFonts w:hint="eastAsia" w:ascii="仿宋" w:hAnsi="仿宋" w:eastAsia="仿宋" w:cs="仿宋"/>
          <w:b w:val="0"/>
          <w:bCs w:val="0"/>
          <w:kern w:val="0"/>
          <w:sz w:val="32"/>
          <w:szCs w:val="32"/>
          <w:lang w:val="en-US" w:eastAsia="zh-CN"/>
        </w:rPr>
        <w:t>6</w:t>
      </w:r>
      <w:r>
        <w:rPr>
          <w:rFonts w:hint="eastAsia" w:ascii="仿宋" w:hAnsi="仿宋" w:eastAsia="仿宋" w:cs="仿宋"/>
          <w:b w:val="0"/>
          <w:bCs w:val="0"/>
          <w:kern w:val="0"/>
          <w:sz w:val="32"/>
          <w:szCs w:val="32"/>
        </w:rPr>
        <w:t>年</w:t>
      </w:r>
      <w:r>
        <w:rPr>
          <w:rFonts w:hint="eastAsia" w:ascii="仿宋" w:hAnsi="仿宋" w:eastAsia="仿宋" w:cs="仿宋"/>
          <w:b w:val="0"/>
          <w:bCs w:val="0"/>
          <w:kern w:val="0"/>
          <w:sz w:val="32"/>
          <w:szCs w:val="32"/>
          <w:lang w:val="en-US" w:eastAsia="zh-CN"/>
        </w:rPr>
        <w:t>8</w:t>
      </w:r>
      <w:r>
        <w:rPr>
          <w:rFonts w:hint="eastAsia" w:ascii="仿宋" w:hAnsi="仿宋" w:eastAsia="仿宋" w:cs="仿宋"/>
          <w:b w:val="0"/>
          <w:bCs w:val="0"/>
          <w:kern w:val="0"/>
          <w:sz w:val="32"/>
          <w:szCs w:val="32"/>
        </w:rPr>
        <w:t>月</w:t>
      </w:r>
      <w:r>
        <w:rPr>
          <w:rFonts w:hint="eastAsia" w:ascii="仿宋" w:hAnsi="仿宋" w:eastAsia="仿宋" w:cs="仿宋"/>
          <w:b w:val="0"/>
          <w:bCs w:val="0"/>
          <w:kern w:val="0"/>
          <w:sz w:val="32"/>
          <w:szCs w:val="32"/>
          <w:lang w:val="en-US" w:eastAsia="zh-CN"/>
        </w:rPr>
        <w:t>10</w:t>
      </w:r>
      <w:r>
        <w:rPr>
          <w:rFonts w:hint="eastAsia" w:ascii="仿宋" w:hAnsi="仿宋" w:eastAsia="仿宋" w:cs="仿宋"/>
          <w:b w:val="0"/>
          <w:bCs w:val="0"/>
          <w:kern w:val="0"/>
          <w:sz w:val="32"/>
          <w:szCs w:val="32"/>
        </w:rPr>
        <w:t>日</w:t>
      </w:r>
    </w:p>
    <w:p w14:paraId="2B6D0B5F">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cs="仿宋_GB2312" w:eastAsiaTheme="majorEastAsia"/>
          <w:sz w:val="32"/>
          <w:szCs w:val="32"/>
          <w:highlight w:val="none"/>
          <w:lang w:val="en-US" w:eastAsia="zh-CN"/>
        </w:rPr>
      </w:pPr>
      <w:r>
        <w:rPr>
          <w:rFonts w:hint="eastAsia" w:asciiTheme="majorEastAsia" w:hAnsiTheme="majorEastAsia" w:eastAsiaTheme="majorEastAsia" w:cstheme="majorEastAsia"/>
          <w:b/>
          <w:bCs/>
          <w:sz w:val="44"/>
          <w:szCs w:val="44"/>
          <w:u w:val="none" w:color="auto"/>
        </w:rPr>
        <w:t>法律法规规章</w:t>
      </w:r>
      <w:r>
        <w:rPr>
          <w:rFonts w:hint="eastAsia" w:asciiTheme="majorEastAsia" w:hAnsiTheme="majorEastAsia" w:eastAsiaTheme="majorEastAsia" w:cstheme="majorEastAsia"/>
          <w:b/>
          <w:bCs/>
          <w:sz w:val="44"/>
          <w:szCs w:val="44"/>
          <w:u w:val="none" w:color="auto"/>
          <w:lang w:val="en-US" w:eastAsia="zh-CN"/>
        </w:rPr>
        <w:t>依据</w:t>
      </w:r>
    </w:p>
    <w:p w14:paraId="11F6A16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highlight w:val="none"/>
        </w:rPr>
      </w:pPr>
    </w:p>
    <w:p w14:paraId="0A88C4D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《中华人民共和国</w:t>
      </w:r>
      <w:r>
        <w:rPr>
          <w:rFonts w:hint="eastAsia" w:ascii="仿宋" w:hAnsi="仿宋" w:eastAsia="仿宋" w:cs="仿宋"/>
          <w:sz w:val="32"/>
          <w:szCs w:val="32"/>
          <w:highlight w:val="none"/>
          <w:lang w:eastAsia="zh-CN"/>
        </w:rPr>
        <w:t>行政复议法</w:t>
      </w:r>
      <w:r>
        <w:rPr>
          <w:rFonts w:hint="eastAsia" w:ascii="仿宋" w:hAnsi="仿宋" w:eastAsia="仿宋" w:cs="仿宋"/>
          <w:sz w:val="32"/>
          <w:szCs w:val="32"/>
          <w:highlight w:val="none"/>
        </w:rPr>
        <w:t>》第三十条　行政复议机关收到行政复议申请后，应当在五日内进行审查。对符合下列规定的，</w:t>
      </w:r>
    </w:p>
    <w:p w14:paraId="4CF311BE">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行政复议机关应当予以受理：</w:t>
      </w:r>
    </w:p>
    <w:p w14:paraId="1A988897">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（一）</w:t>
      </w:r>
      <w:r>
        <w:rPr>
          <w:rFonts w:hint="eastAsia" w:ascii="仿宋" w:hAnsi="仿宋" w:eastAsia="仿宋" w:cs="仿宋"/>
          <w:sz w:val="32"/>
          <w:szCs w:val="32"/>
          <w:highlight w:val="none"/>
        </w:rPr>
        <w:t>有明确的申请人和符合本法规定的被申请人；　　</w:t>
      </w:r>
    </w:p>
    <w:p w14:paraId="587944DC">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38" w:leftChars="304" w:firstLine="0" w:firstLineChars="0"/>
        <w:jc w:val="lef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（二）</w:t>
      </w:r>
      <w:r>
        <w:rPr>
          <w:rFonts w:hint="eastAsia" w:ascii="仿宋" w:hAnsi="仿宋" w:eastAsia="仿宋" w:cs="仿宋"/>
          <w:sz w:val="32"/>
          <w:szCs w:val="32"/>
          <w:highlight w:val="none"/>
        </w:rPr>
        <w:t>申请人与被申请行政复议的行政行为有利害关系；　　</w:t>
      </w:r>
      <w:r>
        <w:rPr>
          <w:rFonts w:hint="eastAsia" w:ascii="仿宋" w:hAnsi="仿宋" w:eastAsia="仿宋" w:cs="仿宋"/>
          <w:sz w:val="32"/>
          <w:szCs w:val="32"/>
          <w:highlight w:val="none"/>
          <w:lang w:eastAsia="zh-CN"/>
        </w:rPr>
        <w:t>（三）</w:t>
      </w:r>
      <w:r>
        <w:rPr>
          <w:rFonts w:hint="eastAsia" w:ascii="仿宋" w:hAnsi="仿宋" w:eastAsia="仿宋" w:cs="仿宋"/>
          <w:sz w:val="32"/>
          <w:szCs w:val="32"/>
          <w:highlight w:val="none"/>
        </w:rPr>
        <w:t>有具体的行政复议请求和理由；</w:t>
      </w:r>
    </w:p>
    <w:p w14:paraId="6C513254">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38" w:leftChars="304" w:firstLine="0" w:firstLineChars="0"/>
        <w:jc w:val="lef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（四）</w:t>
      </w:r>
      <w:r>
        <w:rPr>
          <w:rFonts w:hint="eastAsia" w:ascii="仿宋" w:hAnsi="仿宋" w:eastAsia="仿宋" w:cs="仿宋"/>
          <w:sz w:val="32"/>
          <w:szCs w:val="32"/>
          <w:highlight w:val="none"/>
        </w:rPr>
        <w:t>在法定申请期限内提出；　　</w:t>
      </w:r>
    </w:p>
    <w:p w14:paraId="2DF1BAC3">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（五）</w:t>
      </w:r>
      <w:r>
        <w:rPr>
          <w:rFonts w:hint="eastAsia" w:ascii="仿宋" w:hAnsi="仿宋" w:eastAsia="仿宋" w:cs="仿宋"/>
          <w:sz w:val="32"/>
          <w:szCs w:val="32"/>
          <w:highlight w:val="none"/>
        </w:rPr>
        <w:t>属于本法规定的行政复议范围；</w:t>
      </w:r>
    </w:p>
    <w:p w14:paraId="51FD0226">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（六）</w:t>
      </w:r>
      <w:r>
        <w:rPr>
          <w:rFonts w:hint="eastAsia" w:ascii="仿宋" w:hAnsi="仿宋" w:eastAsia="仿宋" w:cs="仿宋"/>
          <w:sz w:val="32"/>
          <w:szCs w:val="32"/>
          <w:highlight w:val="none"/>
        </w:rPr>
        <w:t>属于本机关的管辖范围；　</w:t>
      </w:r>
    </w:p>
    <w:p w14:paraId="705D1777">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（七）</w:t>
      </w:r>
      <w:r>
        <w:rPr>
          <w:rFonts w:hint="eastAsia" w:ascii="仿宋" w:hAnsi="仿宋" w:eastAsia="仿宋" w:cs="仿宋"/>
          <w:sz w:val="32"/>
          <w:szCs w:val="32"/>
          <w:highlight w:val="none"/>
        </w:rPr>
        <w:t>行政复议机关未受理过该申请人就同一行政行为提出的行政复议申请，并且人民法院未受理过该申请人就同一行政行为提起的行政诉讼。</w:t>
      </w:r>
    </w:p>
    <w:p w14:paraId="2D66DF9B">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对不符合前款规定的行政复议申请，行政复议机关应当在审查期限内决定不予受理并说明理由；不属于本机关管辖的，还应当在不予受理决定中告知申请人有管辖权的行政复议机关。</w:t>
      </w:r>
    </w:p>
    <w:p w14:paraId="3DF3E48F">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行政复议申请的审查期限届满，行政复议机关未作出不予受理决定的，审查期限届满之日起视为受理。</w:t>
      </w:r>
    </w:p>
    <w:p w14:paraId="2E3611F1">
      <w:pPr>
        <w:jc w:val="left"/>
      </w:pPr>
    </w:p>
    <w:p w14:paraId="05EC13FD">
      <w:pPr>
        <w:jc w:val="left"/>
      </w:pPr>
    </w:p>
    <w:p w14:paraId="789CA95D">
      <w:bookmarkStart w:id="0" w:name="_GoBack"/>
      <w:bookmarkEnd w:id="0"/>
    </w:p>
    <w:sectPr>
      <w:footerReference r:id="rId4"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12A4F">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7227854E">
                          <w:pPr>
                            <w:snapToGrid w:val="0"/>
                            <w:rPr>
                              <w:sz w:val="18"/>
                            </w:rPr>
                          </w:pPr>
                          <w:r>
                            <w:rPr>
                              <w:sz w:val="1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rPr>
                              <w:sz w:val="18"/>
                            </w:rPr>
                            <w:t>—</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GX9WQDXAQAAsAMAAA4AAAAAAAAAAQAgAAAA&#10;HgEAAGRycy9lMm9Eb2MueG1sUEsFBgAAAAAGAAYAWQEAAGcFAAAAAA==&#10;">
              <v:fill on="f" focussize="0,0"/>
              <v:stroke on="f"/>
              <v:imagedata o:title=""/>
              <o:lock v:ext="edit" aspectratio="f"/>
              <v:textbox inset="0mm,0mm,0mm,0mm" style="mso-fit-shape-to-text:t;">
                <w:txbxContent>
                  <w:p w14:paraId="7227854E">
                    <w:pPr>
                      <w:snapToGrid w:val="0"/>
                      <w:rPr>
                        <w:sz w:val="18"/>
                      </w:rPr>
                    </w:pPr>
                    <w:r>
                      <w:rPr>
                        <w:sz w:val="1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rPr>
                        <w:sz w:val="1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E69D2A">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588C60">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F588C60">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0B4EAD"/>
    <w:rsid w:val="280B4E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qFormat/>
    <w:uiPriority w:val="1"/>
    <w:rPr>
      <w:szCs w:val="32"/>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2026-08-19T07:33:00Z</dcterms:created>
  <dc:creator>杨洋</dc:creator>
  <cp:lastModifiedBy>杨洋</cp:lastModifiedBy>
  <dcterms:modified xsi:type="dcterms:W3CDTF">2026-08-19T07:33:31Z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139C4F6E14124790AB3375DC66009A06_11</vt:lpwstr>
  </property>
  <property fmtid="{D5CDD505-2E9C-101B-9397-08002B2CF9AE}" pid="4" name="KSOTemplateDocerSaveRecord">
    <vt:lpwstr>eyJoZGlkIjoiNzZiZTQ3ZmI1OTFmODUzNzgwMGRlNDBmMWZiZDQzMjEiLCJ1c2VySWQiOiIyMzQ0MjI2NjQifQ==</vt:lpwstr>
  </property>
</Properties>
</file>