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AC41F4">
      <w:pPr>
        <w:spacing w:line="240" w:lineRule="auto"/>
        <w:jc w:val="center"/>
        <w:rPr>
          <w:rFonts w:ascii="宋体" w:hAnsi="宋体" w:eastAsia="宋体" w:cs="宋体"/>
          <w:b/>
          <w:bCs/>
          <w:sz w:val="84"/>
          <w:szCs w:val="84"/>
        </w:rPr>
      </w:pPr>
      <w:r>
        <w:rPr>
          <w:rFonts w:hint="eastAsia" w:ascii="宋体" w:hAnsi="宋体" w:eastAsia="宋体" w:cs="宋体"/>
          <w:b/>
          <w:bCs/>
          <w:sz w:val="84"/>
          <w:szCs w:val="84"/>
        </w:rPr>
        <w:t>沈阳市浑南区人民政府</w:t>
      </w:r>
    </w:p>
    <w:p w14:paraId="7EBBBB89">
      <w:pPr>
        <w:spacing w:line="760" w:lineRule="exact"/>
        <w:jc w:val="center"/>
        <w:rPr>
          <w:rFonts w:hint="eastAsia" w:ascii="仿宋" w:hAnsi="仿宋" w:eastAsia="仿宋" w:cs="仿宋"/>
        </w:rPr>
      </w:pPr>
      <w:r>
        <w:rPr>
          <w:rFonts w:hint="eastAsia" w:ascii="宋体" w:hAnsi="宋体" w:cs="宋体"/>
          <w:b/>
          <w:bCs/>
          <w:sz w:val="44"/>
          <w:szCs w:val="44"/>
          <w:lang w:val="en-US" w:eastAsia="zh-CN"/>
        </w:rPr>
        <w:t>不予受理</w:t>
      </w:r>
      <w:r>
        <w:rPr>
          <w:rFonts w:hint="eastAsia" w:ascii="宋体" w:hAnsi="宋体" w:eastAsia="宋体" w:cs="宋体"/>
          <w:b/>
          <w:bCs/>
          <w:sz w:val="44"/>
          <w:szCs w:val="44"/>
        </w:rPr>
        <w:t>行政复议</w:t>
      </w:r>
      <w:r>
        <w:rPr>
          <w:rFonts w:hint="eastAsia" w:ascii="宋体" w:hAnsi="宋体" w:cs="宋体"/>
          <w:b/>
          <w:bCs/>
          <w:sz w:val="44"/>
          <w:szCs w:val="44"/>
          <w:lang w:val="en-US" w:eastAsia="zh-CN"/>
        </w:rPr>
        <w:t>申请</w:t>
      </w:r>
      <w:r>
        <w:rPr>
          <w:rFonts w:hint="eastAsia" w:ascii="宋体" w:hAnsi="宋体" w:eastAsia="宋体" w:cs="宋体"/>
          <w:b/>
          <w:bCs/>
          <w:sz w:val="44"/>
          <w:szCs w:val="44"/>
        </w:rPr>
        <w:t>决定书</w:t>
      </w:r>
    </w:p>
    <w:p w14:paraId="7DAE600E">
      <w:pPr>
        <w:keepNext w:val="0"/>
        <w:keepLines w:val="0"/>
        <w:pageBreakBefore w:val="0"/>
        <w:widowControl w:val="0"/>
        <w:kinsoku/>
        <w:wordWrap/>
        <w:overflowPunct/>
        <w:topLinePunct w:val="0"/>
        <w:autoSpaceDE/>
        <w:autoSpaceDN/>
        <w:bidi w:val="0"/>
        <w:spacing w:line="579" w:lineRule="exact"/>
        <w:ind w:firstLine="640" w:firstLineChars="200"/>
        <w:jc w:val="right"/>
        <w:rPr>
          <w:rFonts w:hint="eastAsia" w:ascii="仿宋" w:hAnsi="仿宋" w:eastAsia="仿宋" w:cs="仿宋"/>
          <w:sz w:val="32"/>
          <w:szCs w:val="32"/>
        </w:rPr>
      </w:pPr>
      <w:r>
        <w:rPr>
          <w:rFonts w:hint="eastAsia" w:ascii="仿宋" w:hAnsi="仿宋" w:eastAsia="仿宋" w:cs="仿宋"/>
          <w:sz w:val="32"/>
          <w:szCs w:val="32"/>
        </w:rPr>
        <w:t>沈浑政复﹝202</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401</w:t>
      </w:r>
      <w:r>
        <w:rPr>
          <w:rFonts w:hint="eastAsia" w:ascii="仿宋" w:hAnsi="仿宋" w:eastAsia="仿宋" w:cs="仿宋"/>
          <w:sz w:val="32"/>
          <w:szCs w:val="32"/>
        </w:rPr>
        <w:t>号</w:t>
      </w:r>
    </w:p>
    <w:p w14:paraId="3F48353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rPr>
        <w:t>申请人</w:t>
      </w:r>
      <w:r>
        <w:rPr>
          <w:rFonts w:hint="eastAsia" w:ascii="仿宋" w:hAnsi="仿宋" w:eastAsia="仿宋" w:cs="仿宋"/>
          <w:bCs/>
          <w:color w:val="auto"/>
          <w:sz w:val="32"/>
          <w:szCs w:val="32"/>
          <w:lang w:eastAsia="zh-CN"/>
        </w:rPr>
        <w:t>：</w:t>
      </w:r>
      <w:r>
        <w:rPr>
          <w:rFonts w:hint="eastAsia" w:ascii="仿宋" w:hAnsi="仿宋" w:eastAsia="仿宋" w:cs="仿宋"/>
          <w:bCs/>
          <w:color w:val="auto"/>
          <w:sz w:val="32"/>
          <w:szCs w:val="32"/>
        </w:rPr>
        <w:t>闻海荣</w:t>
      </w:r>
      <w:r>
        <w:rPr>
          <w:rFonts w:hint="eastAsia" w:ascii="仿宋" w:hAnsi="仿宋" w:eastAsia="仿宋" w:cs="仿宋"/>
          <w:bCs/>
          <w:color w:val="auto"/>
          <w:sz w:val="32"/>
          <w:szCs w:val="32"/>
          <w:lang w:val="en-US" w:eastAsia="zh-CN"/>
        </w:rPr>
        <w:t>。</w:t>
      </w:r>
    </w:p>
    <w:p w14:paraId="7984647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bCs/>
          <w:color w:val="auto"/>
          <w:sz w:val="32"/>
          <w:szCs w:val="32"/>
          <w:lang w:val="en-US" w:eastAsia="zh-CN"/>
        </w:rPr>
      </w:pPr>
      <w:r>
        <w:rPr>
          <w:rFonts w:hint="eastAsia" w:ascii="仿宋" w:hAnsi="仿宋" w:eastAsia="仿宋" w:cs="仿宋"/>
          <w:bCs/>
          <w:color w:val="auto"/>
          <w:sz w:val="32"/>
          <w:szCs w:val="32"/>
        </w:rPr>
        <w:t>住址:沈阳市</w:t>
      </w:r>
      <w:r>
        <w:rPr>
          <w:rFonts w:hint="eastAsia" w:ascii="仿宋" w:hAnsi="仿宋" w:eastAsia="仿宋" w:cs="仿宋"/>
          <w:bCs/>
          <w:color w:val="auto"/>
          <w:sz w:val="32"/>
          <w:szCs w:val="32"/>
          <w:lang w:val="en-US" w:eastAsia="zh-CN"/>
        </w:rPr>
        <w:t>和平区北大街龙汉大厦1902</w:t>
      </w:r>
      <w:r>
        <w:rPr>
          <w:rFonts w:hint="eastAsia" w:ascii="仿宋" w:hAnsi="仿宋" w:eastAsia="仿宋" w:cs="仿宋"/>
          <w:bCs/>
          <w:color w:val="auto"/>
          <w:sz w:val="32"/>
          <w:szCs w:val="32"/>
          <w:lang w:eastAsia="zh-CN"/>
        </w:rPr>
        <w:t>。</w:t>
      </w:r>
    </w:p>
    <w:p w14:paraId="5DE088E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lang w:eastAsia="zh-CN"/>
        </w:rPr>
      </w:pPr>
      <w:r>
        <w:rPr>
          <w:rFonts w:hint="eastAsia" w:ascii="仿宋" w:hAnsi="仿宋" w:eastAsia="仿宋" w:cs="仿宋"/>
          <w:bCs/>
          <w:color w:val="auto"/>
          <w:sz w:val="32"/>
          <w:szCs w:val="32"/>
          <w:lang w:val="en-US" w:eastAsia="zh-CN"/>
        </w:rPr>
        <w:t>申请人：</w:t>
      </w:r>
      <w:r>
        <w:rPr>
          <w:rFonts w:hint="eastAsia" w:ascii="仿宋" w:hAnsi="仿宋" w:eastAsia="仿宋" w:cs="仿宋"/>
          <w:bCs/>
          <w:color w:val="auto"/>
          <w:sz w:val="32"/>
          <w:szCs w:val="32"/>
        </w:rPr>
        <w:t>马永财</w:t>
      </w:r>
      <w:r>
        <w:rPr>
          <w:rFonts w:hint="eastAsia" w:ascii="仿宋" w:hAnsi="仿宋" w:eastAsia="仿宋" w:cs="仿宋"/>
          <w:bCs/>
          <w:color w:val="auto"/>
          <w:sz w:val="32"/>
          <w:szCs w:val="32"/>
          <w:highlight w:val="none"/>
          <w:lang w:val="en-US" w:eastAsia="zh-CN"/>
        </w:rPr>
        <w:t>。</w:t>
      </w:r>
    </w:p>
    <w:p w14:paraId="48D5043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bCs/>
          <w:color w:val="auto"/>
          <w:sz w:val="32"/>
          <w:szCs w:val="32"/>
        </w:rPr>
        <w:t>住址:沈阳市</w:t>
      </w:r>
      <w:r>
        <w:rPr>
          <w:rFonts w:hint="eastAsia" w:ascii="仿宋" w:hAnsi="仿宋" w:eastAsia="仿宋" w:cs="仿宋"/>
          <w:bCs/>
          <w:color w:val="auto"/>
          <w:sz w:val="32"/>
          <w:szCs w:val="32"/>
          <w:lang w:val="en-US" w:eastAsia="zh-CN"/>
        </w:rPr>
        <w:t>浑南区桃仙大街6号听雨观澜M区2号楼</w:t>
      </w:r>
      <w:r>
        <w:rPr>
          <w:rFonts w:hint="eastAsia" w:ascii="仿宋" w:hAnsi="仿宋" w:eastAsia="仿宋" w:cs="仿宋"/>
          <w:bCs/>
          <w:color w:val="auto"/>
          <w:sz w:val="32"/>
          <w:szCs w:val="32"/>
          <w:lang w:eastAsia="zh-CN"/>
        </w:rPr>
        <w:t>。</w:t>
      </w:r>
    </w:p>
    <w:p w14:paraId="089687E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bCs/>
          <w:color w:val="auto"/>
          <w:sz w:val="32"/>
          <w:szCs w:val="32"/>
          <w:highlight w:val="none"/>
          <w:lang w:eastAsia="zh-CN"/>
        </w:rPr>
      </w:pPr>
      <w:r>
        <w:rPr>
          <w:rFonts w:hint="eastAsia" w:ascii="仿宋" w:hAnsi="仿宋" w:eastAsia="仿宋" w:cs="仿宋"/>
          <w:bCs/>
          <w:color w:val="auto"/>
          <w:sz w:val="32"/>
          <w:szCs w:val="32"/>
          <w:highlight w:val="none"/>
        </w:rPr>
        <w:t>被申请人：</w:t>
      </w:r>
      <w:bookmarkStart w:id="0" w:name="_Hlk136282537"/>
      <w:r>
        <w:rPr>
          <w:rFonts w:hint="eastAsia" w:ascii="仿宋" w:hAnsi="仿宋" w:eastAsia="仿宋" w:cs="仿宋"/>
          <w:bCs/>
          <w:color w:val="auto"/>
          <w:sz w:val="32"/>
          <w:szCs w:val="32"/>
          <w:highlight w:val="none"/>
        </w:rPr>
        <w:t>沈阳市</w:t>
      </w:r>
      <w:bookmarkEnd w:id="0"/>
      <w:r>
        <w:rPr>
          <w:rFonts w:hint="eastAsia" w:ascii="仿宋" w:hAnsi="仿宋" w:eastAsia="仿宋" w:cs="仿宋"/>
          <w:bCs/>
          <w:color w:val="auto"/>
          <w:sz w:val="32"/>
          <w:szCs w:val="32"/>
          <w:highlight w:val="none"/>
          <w:lang w:eastAsia="zh-CN"/>
        </w:rPr>
        <w:t>浑南区</w:t>
      </w:r>
      <w:r>
        <w:rPr>
          <w:rFonts w:hint="eastAsia" w:ascii="仿宋" w:hAnsi="仿宋" w:eastAsia="仿宋" w:cs="仿宋"/>
          <w:bCs/>
          <w:color w:val="auto"/>
          <w:sz w:val="32"/>
          <w:szCs w:val="32"/>
          <w:highlight w:val="none"/>
          <w:lang w:val="en-US" w:eastAsia="zh-CN"/>
        </w:rPr>
        <w:t>城市建设局</w:t>
      </w:r>
      <w:r>
        <w:rPr>
          <w:rFonts w:hint="eastAsia" w:ascii="仿宋" w:hAnsi="仿宋" w:eastAsia="仿宋" w:cs="仿宋"/>
          <w:bCs/>
          <w:color w:val="auto"/>
          <w:sz w:val="32"/>
          <w:szCs w:val="32"/>
          <w:highlight w:val="none"/>
          <w:lang w:eastAsia="zh-CN"/>
        </w:rPr>
        <w:t>。</w:t>
      </w:r>
    </w:p>
    <w:p w14:paraId="70C7602F">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住所：沈阳市浑南区世纪</w:t>
      </w:r>
      <w:r>
        <w:rPr>
          <w:rFonts w:hint="eastAsia" w:ascii="仿宋" w:hAnsi="仿宋" w:eastAsia="仿宋" w:cs="仿宋"/>
          <w:sz w:val="32"/>
          <w:szCs w:val="32"/>
          <w:lang w:val="en-US" w:eastAsia="zh-CN"/>
        </w:rPr>
        <w:t>路</w:t>
      </w:r>
      <w:r>
        <w:rPr>
          <w:rFonts w:hint="eastAsia" w:ascii="仿宋" w:hAnsi="仿宋" w:eastAsia="仿宋" w:cs="仿宋"/>
          <w:sz w:val="32"/>
          <w:szCs w:val="32"/>
        </w:rPr>
        <w:t>15号‌</w:t>
      </w:r>
      <w:r>
        <w:rPr>
          <w:rFonts w:hint="eastAsia" w:ascii="仿宋" w:hAnsi="仿宋" w:eastAsia="仿宋" w:cs="仿宋"/>
          <w:sz w:val="32"/>
          <w:szCs w:val="32"/>
          <w:lang w:eastAsia="zh-CN"/>
        </w:rPr>
        <w:t>。</w:t>
      </w:r>
    </w:p>
    <w:p w14:paraId="4626B88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法定代表人：</w:t>
      </w:r>
      <w:r>
        <w:rPr>
          <w:rFonts w:hint="eastAsia" w:ascii="仿宋" w:hAnsi="仿宋" w:eastAsia="仿宋" w:cs="仿宋"/>
          <w:sz w:val="32"/>
          <w:szCs w:val="32"/>
          <w:lang w:val="en-US" w:eastAsia="zh-CN"/>
        </w:rPr>
        <w:t>任学勇</w:t>
      </w:r>
      <w:r>
        <w:rPr>
          <w:rFonts w:hint="eastAsia" w:ascii="仿宋" w:hAnsi="仿宋" w:eastAsia="仿宋" w:cs="仿宋"/>
          <w:sz w:val="32"/>
          <w:szCs w:val="32"/>
        </w:rPr>
        <w:t>，职务：</w:t>
      </w:r>
      <w:r>
        <w:rPr>
          <w:rFonts w:hint="eastAsia" w:ascii="仿宋" w:hAnsi="仿宋" w:eastAsia="仿宋" w:cs="仿宋"/>
          <w:sz w:val="32"/>
          <w:szCs w:val="32"/>
          <w:lang w:val="en-US" w:eastAsia="zh-CN"/>
        </w:rPr>
        <w:t>局长。</w:t>
      </w:r>
    </w:p>
    <w:p w14:paraId="423880E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color w:val="auto"/>
          <w:sz w:val="32"/>
          <w:szCs w:val="32"/>
        </w:rPr>
        <w:t>申请</w:t>
      </w:r>
      <w:r>
        <w:rPr>
          <w:rFonts w:hint="eastAsia" w:ascii="仿宋" w:hAnsi="仿宋" w:eastAsia="仿宋" w:cs="仿宋"/>
          <w:color w:val="auto"/>
          <w:sz w:val="32"/>
          <w:szCs w:val="32"/>
          <w:lang w:eastAsia="zh-CN"/>
        </w:rPr>
        <w:t>人</w:t>
      </w:r>
      <w:r>
        <w:rPr>
          <w:rFonts w:hint="eastAsia" w:ascii="仿宋" w:hAnsi="仿宋" w:eastAsia="仿宋" w:cs="仿宋"/>
          <w:color w:val="auto"/>
          <w:sz w:val="32"/>
          <w:szCs w:val="32"/>
          <w:lang w:val="en-US" w:eastAsia="zh-CN"/>
        </w:rPr>
        <w:t>闻海荣、马永财对</w:t>
      </w:r>
      <w:r>
        <w:rPr>
          <w:rFonts w:hint="eastAsia" w:ascii="仿宋" w:hAnsi="仿宋" w:eastAsia="仿宋" w:cs="仿宋"/>
          <w:color w:val="auto"/>
          <w:sz w:val="32"/>
          <w:szCs w:val="32"/>
          <w:lang w:eastAsia="zh-CN"/>
        </w:rPr>
        <w:t>被申请人</w:t>
      </w:r>
      <w:r>
        <w:rPr>
          <w:rFonts w:hint="eastAsia" w:ascii="仿宋" w:hAnsi="仿宋" w:eastAsia="仿宋" w:cs="仿宋"/>
          <w:color w:val="auto"/>
          <w:sz w:val="32"/>
          <w:szCs w:val="32"/>
          <w:lang w:val="en-US" w:eastAsia="zh-CN"/>
        </w:rPr>
        <w:t>于2026年7月24日作出的《信访事项处理意见书》</w:t>
      </w:r>
      <w:r>
        <w:rPr>
          <w:rFonts w:hint="eastAsia" w:ascii="仿宋" w:hAnsi="仿宋" w:eastAsia="仿宋" w:cs="仿宋"/>
          <w:color w:val="auto"/>
          <w:sz w:val="32"/>
          <w:szCs w:val="32"/>
          <w:lang w:eastAsia="zh-CN"/>
        </w:rPr>
        <w:t>不服，</w:t>
      </w:r>
      <w:r>
        <w:rPr>
          <w:rFonts w:hint="eastAsia" w:ascii="仿宋" w:hAnsi="仿宋" w:eastAsia="仿宋" w:cs="仿宋"/>
          <w:color w:val="000000" w:themeColor="text1"/>
          <w:kern w:val="0"/>
          <w:sz w:val="32"/>
          <w:szCs w:val="32"/>
          <w:lang w:val="en-US" w:eastAsia="zh-CN"/>
          <w14:textFill>
            <w14:solidFill>
              <w14:schemeClr w14:val="tx1"/>
            </w14:solidFill>
          </w14:textFill>
        </w:rPr>
        <w:t>于2026年7月27日</w:t>
      </w:r>
      <w:r>
        <w:rPr>
          <w:rFonts w:hint="eastAsia" w:ascii="仿宋" w:hAnsi="仿宋" w:eastAsia="仿宋" w:cs="仿宋"/>
          <w:sz w:val="32"/>
          <w:szCs w:val="32"/>
          <w:lang w:eastAsia="zh-CN"/>
        </w:rPr>
        <w:t>向</w:t>
      </w:r>
      <w:r>
        <w:rPr>
          <w:rFonts w:hint="eastAsia" w:ascii="仿宋" w:hAnsi="仿宋" w:eastAsia="仿宋" w:cs="仿宋"/>
          <w:sz w:val="32"/>
          <w:szCs w:val="32"/>
          <w:lang w:val="en-US" w:eastAsia="zh-CN"/>
        </w:rPr>
        <w:t>沈阳市浑南区人民政府</w:t>
      </w:r>
      <w:r>
        <w:rPr>
          <w:rFonts w:hint="eastAsia" w:ascii="仿宋" w:hAnsi="仿宋" w:eastAsia="仿宋" w:cs="仿宋"/>
          <w:sz w:val="32"/>
          <w:szCs w:val="32"/>
          <w:lang w:eastAsia="zh-CN"/>
        </w:rPr>
        <w:t>提出行政复议申请。</w:t>
      </w:r>
    </w:p>
    <w:p w14:paraId="324286F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申请人复议请求：</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请求被申请人支付农民工工资。</w:t>
      </w:r>
    </w:p>
    <w:p w14:paraId="7667D1D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pPr>
      <w:r>
        <w:rPr>
          <w:rFonts w:hint="eastAsia" w:ascii="仿宋" w:hAnsi="仿宋" w:eastAsia="仿宋" w:cs="仿宋"/>
          <w:sz w:val="32"/>
          <w:szCs w:val="32"/>
        </w:rPr>
        <w:t>经审查，</w:t>
      </w:r>
      <w:r>
        <w:rPr>
          <w:rFonts w:hint="eastAsia" w:ascii="仿宋" w:hAnsi="仿宋" w:eastAsia="仿宋" w:cs="仿宋"/>
          <w:sz w:val="32"/>
          <w:szCs w:val="32"/>
          <w:lang w:eastAsia="zh-CN"/>
        </w:rPr>
        <w:t>该</w:t>
      </w:r>
      <w:r>
        <w:rPr>
          <w:rFonts w:hint="eastAsia" w:ascii="仿宋" w:hAnsi="仿宋" w:eastAsia="仿宋" w:cs="仿宋"/>
          <w:color w:val="000000" w:themeColor="text1"/>
          <w:sz w:val="32"/>
          <w:szCs w:val="32"/>
          <w:lang w:val="en-US" w:eastAsia="zh-CN"/>
          <w14:textFill>
            <w14:solidFill>
              <w14:schemeClr w14:val="tx1"/>
            </w14:solidFill>
          </w14:textFill>
        </w:rPr>
        <w:t>《依法分类办理答复意见书》是申请人通过信访途径反映的工程款支付相关问题的回复处理意见书。</w:t>
      </w:r>
    </w:p>
    <w:p w14:paraId="244FF58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本机关认为，根据《信访工作条例》第三条“信访工作是党的群众工作的重要组成部分，是党和政府了解民情、集中民智、维护民利、凝聚民心的一项重要工作，是各级机关、单位及其领导干部、工作人员接受群众监督、改进工作作风的重要途径”可知，信访</w:t>
      </w:r>
      <w:r>
        <w:rPr>
          <w:rFonts w:hint="eastAsia" w:ascii="仿宋" w:hAnsi="仿宋" w:eastAsia="仿宋" w:cs="仿宋"/>
          <w:color w:val="000000" w:themeColor="text1"/>
          <w:sz w:val="32"/>
          <w:szCs w:val="32"/>
          <w:lang w:val="en-US" w:eastAsia="zh-CN"/>
          <w14:textFill>
            <w14:solidFill>
              <w14:schemeClr w14:val="tx1"/>
            </w14:solidFill>
          </w14:textFill>
        </w:rPr>
        <w:t>工作</w:t>
      </w:r>
      <w:r>
        <w:rPr>
          <w:rFonts w:hint="eastAsia" w:ascii="仿宋" w:hAnsi="仿宋" w:eastAsia="仿宋" w:cs="仿宋"/>
          <w:color w:val="000000" w:themeColor="text1"/>
          <w:sz w:val="32"/>
          <w:szCs w:val="32"/>
          <w14:textFill>
            <w14:solidFill>
              <w14:schemeClr w14:val="tx1"/>
            </w14:solidFill>
          </w14:textFill>
        </w:rPr>
        <w:t>是党的群众工作</w:t>
      </w:r>
      <w:r>
        <w:rPr>
          <w:rFonts w:hint="eastAsia" w:ascii="仿宋" w:hAnsi="仿宋" w:eastAsia="仿宋" w:cs="仿宋"/>
          <w:color w:val="000000" w:themeColor="text1"/>
          <w:sz w:val="32"/>
          <w:szCs w:val="32"/>
          <w:lang w:val="en-US" w:eastAsia="zh-CN"/>
          <w14:textFill>
            <w14:solidFill>
              <w14:schemeClr w14:val="tx1"/>
            </w14:solidFill>
          </w14:textFill>
        </w:rPr>
        <w:t>重要组成部分</w:t>
      </w:r>
      <w:r>
        <w:rPr>
          <w:rFonts w:hint="eastAsia" w:ascii="仿宋" w:hAnsi="仿宋" w:eastAsia="仿宋" w:cs="仿宋"/>
          <w:color w:val="000000" w:themeColor="text1"/>
          <w:sz w:val="32"/>
          <w:szCs w:val="32"/>
          <w14:textFill>
            <w14:solidFill>
              <w14:schemeClr w14:val="tx1"/>
            </w14:solidFill>
          </w14:textFill>
        </w:rPr>
        <w:t>，是信访人向各级机关、单位反映情况，提出建议、意见或者</w:t>
      </w:r>
      <w:r>
        <w:rPr>
          <w:rFonts w:hint="eastAsia" w:ascii="仿宋" w:hAnsi="仿宋" w:eastAsia="仿宋" w:cs="仿宋"/>
          <w:color w:val="000000" w:themeColor="text1"/>
          <w:sz w:val="32"/>
          <w:szCs w:val="32"/>
          <w:lang w:val="en-US" w:eastAsia="zh-CN"/>
          <w14:textFill>
            <w14:solidFill>
              <w14:schemeClr w14:val="tx1"/>
            </w14:solidFill>
          </w14:textFill>
        </w:rPr>
        <w:t>信访</w:t>
      </w:r>
      <w:r>
        <w:rPr>
          <w:rFonts w:hint="eastAsia" w:ascii="仿宋" w:hAnsi="仿宋" w:eastAsia="仿宋" w:cs="仿宋"/>
          <w:color w:val="000000" w:themeColor="text1"/>
          <w:sz w:val="32"/>
          <w:szCs w:val="32"/>
          <w14:textFill>
            <w14:solidFill>
              <w14:schemeClr w14:val="tx1"/>
            </w14:solidFill>
          </w14:textFill>
        </w:rPr>
        <w:t>投诉请求的途径，与行政复议、行政诉讼分属不同的救济途径。《信访工作条例》第三十五条规定</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信访人对信访处理意见不服的，可以自收到书面答复之日起30日内请求原办理机关、单位的上一级机关、单位复查。收到复查请求的机关、单位应当自收到复查请求之日起30日内提出复查意见，并予以书面答复。本案中，被申请人针对申请人的信访</w:t>
      </w:r>
      <w:r>
        <w:rPr>
          <w:rFonts w:hint="eastAsia" w:ascii="仿宋" w:hAnsi="仿宋" w:eastAsia="仿宋" w:cs="仿宋"/>
          <w:color w:val="000000" w:themeColor="text1"/>
          <w:sz w:val="32"/>
          <w:szCs w:val="32"/>
          <w:lang w:eastAsia="zh-CN"/>
          <w14:textFill>
            <w14:solidFill>
              <w14:schemeClr w14:val="tx1"/>
            </w14:solidFill>
          </w14:textFill>
        </w:rPr>
        <w:t>问题</w:t>
      </w:r>
      <w:r>
        <w:rPr>
          <w:rFonts w:hint="eastAsia" w:ascii="仿宋" w:hAnsi="仿宋" w:eastAsia="仿宋" w:cs="仿宋"/>
          <w:color w:val="000000" w:themeColor="text1"/>
          <w:sz w:val="32"/>
          <w:szCs w:val="32"/>
          <w14:textFill>
            <w14:solidFill>
              <w14:schemeClr w14:val="tx1"/>
            </w14:solidFill>
          </w14:textFill>
        </w:rPr>
        <w:t>作出</w:t>
      </w:r>
      <w:r>
        <w:rPr>
          <w:rFonts w:hint="eastAsia" w:ascii="仿宋" w:hAnsi="仿宋" w:eastAsia="仿宋" w:cs="仿宋"/>
          <w:color w:val="000000" w:themeColor="text1"/>
          <w:sz w:val="32"/>
          <w:szCs w:val="32"/>
          <w:lang w:eastAsia="zh-CN"/>
          <w14:textFill>
            <w14:solidFill>
              <w14:schemeClr w14:val="tx1"/>
            </w14:solidFill>
          </w14:textFill>
        </w:rPr>
        <w:t>的</w:t>
      </w:r>
      <w:r>
        <w:rPr>
          <w:rFonts w:hint="eastAsia" w:ascii="仿宋" w:hAnsi="仿宋" w:eastAsia="仿宋" w:cs="仿宋"/>
          <w:color w:val="000000" w:themeColor="text1"/>
          <w:sz w:val="32"/>
          <w:szCs w:val="32"/>
          <w:lang w:val="en-US" w:eastAsia="zh-CN"/>
          <w14:textFill>
            <w14:solidFill>
              <w14:schemeClr w14:val="tx1"/>
            </w14:solidFill>
          </w14:textFill>
        </w:rPr>
        <w:t>《依法分类办理答复意见书》</w:t>
      </w:r>
      <w:r>
        <w:rPr>
          <w:rFonts w:hint="eastAsia" w:ascii="仿宋" w:hAnsi="仿宋" w:eastAsia="仿宋" w:cs="仿宋"/>
          <w:color w:val="000000" w:themeColor="text1"/>
          <w:sz w:val="32"/>
          <w:szCs w:val="32"/>
          <w14:textFill>
            <w14:solidFill>
              <w14:schemeClr w14:val="tx1"/>
            </w14:solidFill>
          </w14:textFill>
        </w:rPr>
        <w:t>，申请人不服该</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依法分类办理答复意见书》</w:t>
      </w:r>
      <w:r>
        <w:rPr>
          <w:rFonts w:hint="eastAsia" w:ascii="仿宋" w:hAnsi="仿宋" w:eastAsia="仿宋" w:cs="仿宋"/>
          <w:color w:val="000000" w:themeColor="text1"/>
          <w:sz w:val="32"/>
          <w:szCs w:val="32"/>
          <w14:textFill>
            <w14:solidFill>
              <w14:schemeClr w14:val="tx1"/>
            </w14:solidFill>
          </w14:textFill>
        </w:rPr>
        <w:t>，应向被申请人或被申请人的上一级主管机关、单位申请复查，而非申请行政复议。《中华人民共和国行政复议法》第十一条对行政复议的受案范围进行了规定，信访处理意见并非行政机关基于职能作出的行政行为，不属于行政复议的受案范围，故依法不予受理</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根据《中华人民共和国行政复议法》第十一条、第三十条</w:t>
      </w:r>
      <w:r>
        <w:rPr>
          <w:rFonts w:hint="eastAsia" w:ascii="仿宋" w:hAnsi="仿宋" w:eastAsia="仿宋" w:cs="仿宋"/>
          <w:color w:val="000000" w:themeColor="text1"/>
          <w:sz w:val="32"/>
          <w:szCs w:val="32"/>
          <w:lang w:val="en-US" w:eastAsia="zh-CN"/>
          <w14:textFill>
            <w14:solidFill>
              <w14:schemeClr w14:val="tx1"/>
            </w14:solidFill>
          </w14:textFill>
        </w:rPr>
        <w:t>第二款</w:t>
      </w:r>
      <w:r>
        <w:rPr>
          <w:rFonts w:hint="eastAsia" w:ascii="仿宋" w:hAnsi="仿宋" w:eastAsia="仿宋" w:cs="仿宋"/>
          <w:color w:val="000000" w:themeColor="text1"/>
          <w:sz w:val="32"/>
          <w:szCs w:val="32"/>
          <w14:textFill>
            <w14:solidFill>
              <w14:schemeClr w14:val="tx1"/>
            </w14:solidFill>
          </w14:textFill>
        </w:rPr>
        <w:t>之规定，本机关决定</w:t>
      </w:r>
      <w:r>
        <w:rPr>
          <w:rFonts w:hint="eastAsia" w:ascii="仿宋" w:hAnsi="仿宋" w:eastAsia="仿宋" w:cs="仿宋"/>
          <w:color w:val="000000" w:themeColor="text1"/>
          <w:sz w:val="32"/>
          <w:szCs w:val="32"/>
          <w:lang w:eastAsia="zh-CN"/>
          <w14:textFill>
            <w14:solidFill>
              <w14:schemeClr w14:val="tx1"/>
            </w14:solidFill>
          </w14:textFill>
        </w:rPr>
        <w:t>：</w:t>
      </w:r>
    </w:p>
    <w:p w14:paraId="36ED33E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不予受理申请人</w:t>
      </w:r>
      <w:r>
        <w:rPr>
          <w:rFonts w:hint="eastAsia" w:ascii="仿宋" w:hAnsi="仿宋" w:eastAsia="仿宋" w:cs="仿宋"/>
          <w:color w:val="auto"/>
          <w:sz w:val="32"/>
          <w:szCs w:val="32"/>
          <w:lang w:val="en-US" w:eastAsia="zh-CN"/>
        </w:rPr>
        <w:t>闻海荣、马永财</w:t>
      </w:r>
      <w:r>
        <w:rPr>
          <w:rFonts w:hint="eastAsia" w:ascii="仿宋" w:hAnsi="仿宋" w:eastAsia="仿宋" w:cs="仿宋"/>
          <w:color w:val="000000" w:themeColor="text1"/>
          <w:sz w:val="32"/>
          <w:szCs w:val="32"/>
          <w14:textFill>
            <w14:solidFill>
              <w14:schemeClr w14:val="tx1"/>
            </w14:solidFill>
          </w14:textFill>
        </w:rPr>
        <w:t>的行政复议申请。</w:t>
      </w:r>
    </w:p>
    <w:p w14:paraId="1E9B060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申请人如对本行政复议决定不服，可以自接到本决定书之日起15日内，依法向</w:t>
      </w:r>
      <w:r>
        <w:rPr>
          <w:rFonts w:hint="eastAsia" w:ascii="仿宋" w:hAnsi="仿宋" w:eastAsia="仿宋" w:cs="仿宋"/>
          <w:color w:val="000000" w:themeColor="text1"/>
          <w:sz w:val="32"/>
          <w:szCs w:val="32"/>
          <w:lang w:val="en-US" w:eastAsia="zh-CN"/>
          <w14:textFill>
            <w14:solidFill>
              <w14:schemeClr w14:val="tx1"/>
            </w14:solidFill>
          </w14:textFill>
        </w:rPr>
        <w:t>沈阳市中级人民法院提起</w:t>
      </w:r>
      <w:r>
        <w:rPr>
          <w:rFonts w:hint="eastAsia" w:ascii="仿宋" w:hAnsi="仿宋" w:eastAsia="仿宋" w:cs="仿宋"/>
          <w:color w:val="000000" w:themeColor="text1"/>
          <w:sz w:val="32"/>
          <w:szCs w:val="32"/>
          <w14:textFill>
            <w14:solidFill>
              <w14:schemeClr w14:val="tx1"/>
            </w14:solidFill>
          </w14:textFill>
        </w:rPr>
        <w:t>行政诉讼。</w:t>
      </w:r>
    </w:p>
    <w:p w14:paraId="0A1689E1">
      <w:pPr>
        <w:keepNext w:val="0"/>
        <w:keepLines w:val="0"/>
        <w:pageBreakBefore w:val="0"/>
        <w:widowControl w:val="0"/>
        <w:kinsoku/>
        <w:wordWrap/>
        <w:overflowPunct/>
        <w:topLinePunct w:val="0"/>
        <w:autoSpaceDE/>
        <w:autoSpaceDN/>
        <w:bidi w:val="0"/>
        <w:snapToGrid w:val="0"/>
        <w:spacing w:line="579" w:lineRule="exact"/>
        <w:ind w:right="1050" w:rightChars="500"/>
        <w:jc w:val="right"/>
        <w:rPr>
          <w:rFonts w:hint="eastAsia" w:ascii="仿宋" w:hAnsi="仿宋" w:eastAsia="仿宋" w:cs="仿宋"/>
          <w:b w:val="0"/>
          <w:bCs/>
          <w:color w:val="000000"/>
          <w:sz w:val="32"/>
          <w:szCs w:val="32"/>
        </w:rPr>
      </w:pPr>
    </w:p>
    <w:p w14:paraId="539FD13B">
      <w:pPr>
        <w:keepNext w:val="0"/>
        <w:keepLines w:val="0"/>
        <w:pageBreakBefore w:val="0"/>
        <w:widowControl w:val="0"/>
        <w:kinsoku/>
        <w:wordWrap/>
        <w:overflowPunct/>
        <w:topLinePunct w:val="0"/>
        <w:autoSpaceDE/>
        <w:autoSpaceDN/>
        <w:bidi w:val="0"/>
        <w:snapToGrid w:val="0"/>
        <w:spacing w:line="579" w:lineRule="exact"/>
        <w:ind w:right="1050" w:rightChars="500"/>
        <w:jc w:val="right"/>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沈阳市浑南区人民政府</w:t>
      </w:r>
    </w:p>
    <w:p w14:paraId="502AC36C">
      <w:pPr>
        <w:keepNext w:val="0"/>
        <w:keepLines w:val="0"/>
        <w:pageBreakBefore w:val="0"/>
        <w:widowControl w:val="0"/>
        <w:kinsoku/>
        <w:wordWrap/>
        <w:overflowPunct/>
        <w:topLinePunct w:val="0"/>
        <w:autoSpaceDE/>
        <w:autoSpaceDN/>
        <w:bidi w:val="0"/>
        <w:snapToGrid w:val="0"/>
        <w:spacing w:line="579" w:lineRule="exact"/>
        <w:ind w:right="1050" w:rightChars="500"/>
        <w:jc w:val="right"/>
        <w:rPr>
          <w:rFonts w:hint="default" w:ascii="仿宋" w:hAnsi="仿宋" w:eastAsia="仿宋" w:cs="仿宋"/>
          <w:b w:val="0"/>
          <w:bCs/>
          <w:sz w:val="32"/>
          <w:szCs w:val="32"/>
          <w:lang w:val="en-US" w:eastAsia="zh-CN"/>
        </w:rPr>
        <w:sectPr>
          <w:footerReference r:id="rId3" w:type="default"/>
          <w:pgSz w:w="11906" w:h="16838"/>
          <w:pgMar w:top="1984" w:right="1474" w:bottom="1928" w:left="1587" w:header="850" w:footer="992" w:gutter="0"/>
          <w:pgNumType w:fmt="decimal"/>
          <w:cols w:space="720" w:num="1"/>
          <w:docGrid w:type="lines" w:linePitch="318" w:charSpace="0"/>
        </w:sectPr>
      </w:pPr>
      <w:r>
        <w:rPr>
          <w:rFonts w:hint="eastAsia" w:ascii="仿宋" w:hAnsi="仿宋" w:eastAsia="仿宋" w:cs="仿宋"/>
          <w:b w:val="0"/>
          <w:bCs/>
          <w:sz w:val="32"/>
          <w:szCs w:val="32"/>
        </w:rPr>
        <w:t>202</w:t>
      </w:r>
      <w:r>
        <w:rPr>
          <w:rFonts w:hint="eastAsia" w:ascii="仿宋" w:hAnsi="仿宋" w:eastAsia="仿宋" w:cs="仿宋"/>
          <w:b w:val="0"/>
          <w:bCs/>
          <w:sz w:val="32"/>
          <w:szCs w:val="32"/>
          <w:lang w:val="en-US" w:eastAsia="zh-CN"/>
        </w:rPr>
        <w:t>6</w:t>
      </w:r>
      <w:r>
        <w:rPr>
          <w:rFonts w:hint="eastAsia" w:ascii="仿宋" w:hAnsi="仿宋" w:eastAsia="仿宋" w:cs="仿宋"/>
          <w:b w:val="0"/>
          <w:bCs/>
          <w:sz w:val="32"/>
          <w:szCs w:val="32"/>
        </w:rPr>
        <w:t>年</w:t>
      </w:r>
      <w:r>
        <w:rPr>
          <w:rFonts w:hint="eastAsia" w:ascii="仿宋" w:hAnsi="仿宋" w:eastAsia="仿宋" w:cs="仿宋"/>
          <w:b w:val="0"/>
          <w:bCs/>
          <w:sz w:val="32"/>
          <w:szCs w:val="32"/>
          <w:lang w:val="en-US" w:eastAsia="zh-CN"/>
        </w:rPr>
        <w:t>7</w:t>
      </w:r>
      <w:r>
        <w:rPr>
          <w:rFonts w:hint="eastAsia" w:ascii="仿宋" w:hAnsi="仿宋" w:eastAsia="仿宋" w:cs="仿宋"/>
          <w:b w:val="0"/>
          <w:bCs/>
          <w:sz w:val="32"/>
          <w:szCs w:val="32"/>
        </w:rPr>
        <w:t>月</w:t>
      </w:r>
      <w:r>
        <w:rPr>
          <w:rFonts w:hint="eastAsia" w:ascii="仿宋" w:hAnsi="仿宋" w:eastAsia="仿宋" w:cs="仿宋"/>
          <w:b w:val="0"/>
          <w:bCs/>
          <w:sz w:val="32"/>
          <w:szCs w:val="32"/>
          <w:lang w:val="en-US" w:eastAsia="zh-CN"/>
        </w:rPr>
        <w:t>30日</w:t>
      </w:r>
    </w:p>
    <w:p w14:paraId="42A4EFCD">
      <w:pPr>
        <w:pStyle w:val="5"/>
        <w:keepNext w:val="0"/>
        <w:keepLines w:val="0"/>
        <w:pageBreakBefore w:val="0"/>
        <w:widowControl w:val="0"/>
        <w:kinsoku/>
        <w:wordWrap/>
        <w:overflowPunct/>
        <w:topLinePunct w:val="0"/>
        <w:autoSpaceDE/>
        <w:autoSpaceDN/>
        <w:bidi w:val="0"/>
        <w:spacing w:line="579" w:lineRule="exact"/>
        <w:jc w:val="center"/>
        <w:rPr>
          <w:rFonts w:hint="eastAsia" w:ascii="仿宋" w:hAnsi="仿宋" w:eastAsia="仿宋" w:cs="仿宋"/>
          <w:b/>
          <w:bCs/>
          <w:sz w:val="40"/>
          <w:szCs w:val="40"/>
        </w:rPr>
      </w:pPr>
      <w:r>
        <w:rPr>
          <w:rFonts w:hint="eastAsia" w:ascii="仿宋" w:hAnsi="仿宋" w:eastAsia="仿宋" w:cs="仿宋"/>
          <w:b/>
          <w:bCs/>
          <w:kern w:val="2"/>
          <w:sz w:val="40"/>
          <w:szCs w:val="40"/>
          <w:highlight w:val="none"/>
          <w:u w:val="none" w:color="auto"/>
          <w:lang w:val="en-US" w:eastAsia="zh-CN" w:bidi="ar-SA"/>
        </w:rPr>
        <w:t>本案决定所依据的法律法规规章</w:t>
      </w:r>
    </w:p>
    <w:p w14:paraId="2FD65429">
      <w:pPr>
        <w:keepNext w:val="0"/>
        <w:keepLines w:val="0"/>
        <w:pageBreakBefore w:val="0"/>
        <w:widowControl w:val="0"/>
        <w:kinsoku/>
        <w:wordWrap/>
        <w:overflowPunct/>
        <w:topLinePunct w:val="0"/>
        <w:autoSpaceDE/>
        <w:autoSpaceDN/>
        <w:bidi w:val="0"/>
        <w:spacing w:before="313" w:beforeLines="100"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《中华人民共和国行政复议法》第十一条　有下列情形之一的，公民、法人或者其他组织可以依照本法申请行政复议：</w:t>
      </w:r>
    </w:p>
    <w:p w14:paraId="14B0E5E1">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（一）对行政机关作出的行政处罚决定不服；</w:t>
      </w:r>
    </w:p>
    <w:p w14:paraId="2EA0917E">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（二）对行政机关作出的行政强制措施、行政强制执行决定不服；</w:t>
      </w:r>
    </w:p>
    <w:p w14:paraId="606E20ED">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（三）申请行政许可，行政机关拒绝或者在法定期限内不予答复，或者对行政机关作出的有关行政许可的其他决定不服；</w:t>
      </w:r>
    </w:p>
    <w:p w14:paraId="4AF63D3C">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（四）对行政机关作出的确认自然资源的所有权或者使用权的决定不服；</w:t>
      </w:r>
    </w:p>
    <w:p w14:paraId="1AE41D32">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（五）对行政机关作出的征收征用决定及其补偿决定不服；</w:t>
      </w:r>
    </w:p>
    <w:p w14:paraId="46462273">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（六）对行政机关作出的赔偿决定或者不予赔偿决定不服；</w:t>
      </w:r>
    </w:p>
    <w:p w14:paraId="227E1AEC">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（七）对行政机关作出的不予受理工伤认定申请的决定或者工伤认定结论不服；</w:t>
      </w:r>
    </w:p>
    <w:p w14:paraId="29BF147C">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（八）认为行政机关侵犯其经营自主权或者农村土地承包经营权、农村土地经营权；</w:t>
      </w:r>
    </w:p>
    <w:p w14:paraId="4198C2A4">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（九）认为行政机关滥用行政权力排除或者限制竞争；</w:t>
      </w:r>
    </w:p>
    <w:p w14:paraId="08F91125">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（十）认为行政机关违法集资、摊派费用或者违法要求履行其他义务；</w:t>
      </w:r>
    </w:p>
    <w:p w14:paraId="378BB938">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（十一）申请行政机关履行保护人身权利、财产权利、受教育权利等合法权益的法定职责，行政机关拒绝履行、未依法履行或者不予答复；</w:t>
      </w:r>
    </w:p>
    <w:p w14:paraId="2B3A4E1C">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（十二）申请行政机关依法给付抚恤金、社会保险待遇或者最低生活保障等社会保障，行政机关没有依法给付；</w:t>
      </w:r>
    </w:p>
    <w:p w14:paraId="5FC7C335">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（十三）认为行政机关不依法订立、不依法履行、未按照约定履行或者违法变更、解除政府特许经营协议、土地房屋征收补偿协议等行政协议；</w:t>
      </w:r>
    </w:p>
    <w:p w14:paraId="26D6DE31">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（十四）认为行政机关在政府信息公开工作中侵犯其合法权益；</w:t>
      </w:r>
    </w:p>
    <w:p w14:paraId="45363DAD">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（十五）认为行政机关的其他行政行为侵犯其合法权益。</w:t>
      </w:r>
    </w:p>
    <w:p w14:paraId="5E614128">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《中华人民共和国行政复议法》第三十条 行政复议机关收到行政复议申请后，应当在五日内进行审查。对符合下列规定的，行政复议机关应当予以受理：</w:t>
      </w:r>
    </w:p>
    <w:p w14:paraId="37885F27">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（一）有明确的申请人和符合本法规定的被申请人；</w:t>
      </w:r>
    </w:p>
    <w:p w14:paraId="4A587C51">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（二）申请人与被申请行政复议的行政行为有利害关系；</w:t>
      </w:r>
    </w:p>
    <w:p w14:paraId="5F341E24">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（三）有具体的行政复议请求和理由；</w:t>
      </w:r>
      <w:bookmarkStart w:id="1" w:name="_GoBack"/>
      <w:bookmarkEnd w:id="1"/>
    </w:p>
    <w:p w14:paraId="69AF9103">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（四）在法定申请期限内提出；</w:t>
      </w:r>
    </w:p>
    <w:p w14:paraId="67E50D66">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（五）属于本法规定的行政复议范围；</w:t>
      </w:r>
    </w:p>
    <w:p w14:paraId="341829DF">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（六）属于本机关的管辖范围；</w:t>
      </w:r>
    </w:p>
    <w:p w14:paraId="5B6FADDF">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（七）行政复议机关未受理过该申请人就同一行政行为提出的行政复议申请，并且人民法院未受理过该申请人就同一行政行为提起的行政诉讼。</w:t>
      </w:r>
    </w:p>
    <w:p w14:paraId="45155E85">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对不符合前款规定的行政复议申请，行政复议机关应当在审查期限内决定不予受理并说明理由：不属于本机关管辖的，还应当在不予受理决定中告知申请人有管辖权的行政复议机关</w:t>
      </w:r>
    </w:p>
    <w:p w14:paraId="4E9B08DD">
      <w:pPr>
        <w:keepNext w:val="0"/>
        <w:keepLines w:val="0"/>
        <w:pageBreakBefore w:val="0"/>
        <w:widowControl w:val="0"/>
        <w:kinsoku/>
        <w:wordWrap/>
        <w:overflowPunct/>
        <w:topLinePunct w:val="0"/>
        <w:autoSpaceDE/>
        <w:autoSpaceDN/>
        <w:bidi w:val="0"/>
        <w:spacing w:line="579" w:lineRule="exact"/>
        <w:ind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行政复议申请的审查期限届满，行政复议机关未作出不予受理决定的，审查期限届满之日起视为受理。</w:t>
      </w:r>
    </w:p>
    <w:p w14:paraId="5B5DA857">
      <w:pPr>
        <w:pStyle w:val="5"/>
        <w:jc w:val="both"/>
        <w:rPr>
          <w:rFonts w:hint="eastAsia" w:ascii="仿宋_GB2312" w:hAnsi="仿宋_GB2312" w:eastAsia="仿宋_GB2312" w:cs="仿宋_GB2312"/>
          <w:color w:val="000000" w:themeColor="text1"/>
          <w:sz w:val="32"/>
          <w:szCs w:val="32"/>
          <w14:textFill>
            <w14:solidFill>
              <w14:schemeClr w14:val="tx1"/>
            </w14:solidFill>
          </w14:textFill>
        </w:rPr>
      </w:pPr>
    </w:p>
    <w:p w14:paraId="398F3811">
      <w:pPr>
        <w:rPr>
          <w:rFonts w:hint="eastAsia" w:ascii="仿宋_GB2312" w:hAnsi="仿宋_GB2312" w:eastAsia="仿宋_GB2312" w:cs="仿宋_GB2312"/>
          <w:color w:val="000000" w:themeColor="text1"/>
          <w:sz w:val="32"/>
          <w:szCs w:val="32"/>
          <w14:textFill>
            <w14:solidFill>
              <w14:schemeClr w14:val="tx1"/>
            </w14:solidFill>
          </w14:textFill>
        </w:rPr>
      </w:pPr>
    </w:p>
    <w:p w14:paraId="6895BAE5">
      <w:pPr>
        <w:jc w:val="left"/>
      </w:pPr>
    </w:p>
    <w:p w14:paraId="633E9D0B">
      <w:pPr>
        <w:jc w:val="left"/>
      </w:pPr>
    </w:p>
    <w:sectPr>
      <w:footerReference r:id="rId4"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7D2B8">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2240151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GX9WQDXAQAAsAMAAA4AAAAAAAAAAQAgAAAA&#10;HgEAAGRycy9lMm9Eb2MueG1sUEsFBgAAAAAGAAYAWQEAAGcFAAAAAA==&#10;">
              <v:fill on="f" focussize="0,0"/>
              <v:stroke on="f"/>
              <v:imagedata o:title=""/>
              <o:lock v:ext="edit" aspectratio="f"/>
              <v:textbox inset="0mm,0mm,0mm,0mm" style="mso-fit-shape-to-text:t;">
                <w:txbxContent>
                  <w:p w14:paraId="2240151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03F2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981B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A6981B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kYzQxMjMzOTM3NTRiOGYwNjJiOTFlNjkwNTBkNDQifQ=="/>
    <w:docVar w:name="KSO_WPS_MARK_KEY" w:val="1e6a1214-d1b3-4275-8986-5a7928551782"/>
  </w:docVars>
  <w:rsids>
    <w:rsidRoot w:val="008E00FE"/>
    <w:rsid w:val="00046CA0"/>
    <w:rsid w:val="00233E4A"/>
    <w:rsid w:val="005478B9"/>
    <w:rsid w:val="008E00FE"/>
    <w:rsid w:val="00A30A2C"/>
    <w:rsid w:val="00F72888"/>
    <w:rsid w:val="0156352C"/>
    <w:rsid w:val="017165B7"/>
    <w:rsid w:val="017716F4"/>
    <w:rsid w:val="01F01BD2"/>
    <w:rsid w:val="027D494E"/>
    <w:rsid w:val="02DF57A3"/>
    <w:rsid w:val="03641FA1"/>
    <w:rsid w:val="046862DE"/>
    <w:rsid w:val="04BF768A"/>
    <w:rsid w:val="05386BAB"/>
    <w:rsid w:val="061567A2"/>
    <w:rsid w:val="06CD7431"/>
    <w:rsid w:val="06D96124"/>
    <w:rsid w:val="079F6391"/>
    <w:rsid w:val="07E51FBF"/>
    <w:rsid w:val="07EB2867"/>
    <w:rsid w:val="08402709"/>
    <w:rsid w:val="08844E22"/>
    <w:rsid w:val="095B270F"/>
    <w:rsid w:val="0AB322F6"/>
    <w:rsid w:val="0B6F4ED0"/>
    <w:rsid w:val="0BA21D70"/>
    <w:rsid w:val="0C105573"/>
    <w:rsid w:val="0C41302A"/>
    <w:rsid w:val="0C5C1217"/>
    <w:rsid w:val="0C9D2956"/>
    <w:rsid w:val="0CC021C4"/>
    <w:rsid w:val="0D164F65"/>
    <w:rsid w:val="0D531267"/>
    <w:rsid w:val="0F3B770C"/>
    <w:rsid w:val="0F40222E"/>
    <w:rsid w:val="0F490B74"/>
    <w:rsid w:val="106A6FF4"/>
    <w:rsid w:val="10A2678D"/>
    <w:rsid w:val="119E535C"/>
    <w:rsid w:val="11DF5A44"/>
    <w:rsid w:val="125C471A"/>
    <w:rsid w:val="14302302"/>
    <w:rsid w:val="14305E5E"/>
    <w:rsid w:val="14541451"/>
    <w:rsid w:val="14575AE1"/>
    <w:rsid w:val="149301BA"/>
    <w:rsid w:val="1495704D"/>
    <w:rsid w:val="15115235"/>
    <w:rsid w:val="156655A8"/>
    <w:rsid w:val="158C2982"/>
    <w:rsid w:val="16810BF3"/>
    <w:rsid w:val="16D01B7A"/>
    <w:rsid w:val="17A60497"/>
    <w:rsid w:val="17EA140A"/>
    <w:rsid w:val="18043FFA"/>
    <w:rsid w:val="188B5D59"/>
    <w:rsid w:val="198C7D83"/>
    <w:rsid w:val="19E24B1F"/>
    <w:rsid w:val="1A2B47A3"/>
    <w:rsid w:val="1A701A29"/>
    <w:rsid w:val="1A8C7B66"/>
    <w:rsid w:val="1BA03310"/>
    <w:rsid w:val="1C6E7E6B"/>
    <w:rsid w:val="1D631052"/>
    <w:rsid w:val="1E02647F"/>
    <w:rsid w:val="1F15637C"/>
    <w:rsid w:val="1F42113B"/>
    <w:rsid w:val="1F7B48E1"/>
    <w:rsid w:val="1FD53D5E"/>
    <w:rsid w:val="1FF00B97"/>
    <w:rsid w:val="22B91715"/>
    <w:rsid w:val="23180CEC"/>
    <w:rsid w:val="23EA427B"/>
    <w:rsid w:val="245109A3"/>
    <w:rsid w:val="24A3442A"/>
    <w:rsid w:val="25CB240D"/>
    <w:rsid w:val="25CE35F1"/>
    <w:rsid w:val="262A617F"/>
    <w:rsid w:val="262E36F4"/>
    <w:rsid w:val="263E661E"/>
    <w:rsid w:val="26A12A6D"/>
    <w:rsid w:val="26B41F17"/>
    <w:rsid w:val="282B4FA4"/>
    <w:rsid w:val="28E61E9E"/>
    <w:rsid w:val="293324E1"/>
    <w:rsid w:val="2955118A"/>
    <w:rsid w:val="2B1A1AB5"/>
    <w:rsid w:val="2B2A7653"/>
    <w:rsid w:val="2B7F5E92"/>
    <w:rsid w:val="2D414C69"/>
    <w:rsid w:val="2D917516"/>
    <w:rsid w:val="2E6C1D31"/>
    <w:rsid w:val="2EAB0AAB"/>
    <w:rsid w:val="2EDA1C61"/>
    <w:rsid w:val="2F724F1A"/>
    <w:rsid w:val="2FDC2979"/>
    <w:rsid w:val="304D41F8"/>
    <w:rsid w:val="30A8141C"/>
    <w:rsid w:val="31392029"/>
    <w:rsid w:val="315A0567"/>
    <w:rsid w:val="31C62918"/>
    <w:rsid w:val="31F968CB"/>
    <w:rsid w:val="321E1CDB"/>
    <w:rsid w:val="322A7083"/>
    <w:rsid w:val="32A14172"/>
    <w:rsid w:val="32A42878"/>
    <w:rsid w:val="33790A5F"/>
    <w:rsid w:val="33831E3C"/>
    <w:rsid w:val="33C12265"/>
    <w:rsid w:val="343432F1"/>
    <w:rsid w:val="361A0BFC"/>
    <w:rsid w:val="36AE0BF8"/>
    <w:rsid w:val="37060F75"/>
    <w:rsid w:val="37264B38"/>
    <w:rsid w:val="37294C63"/>
    <w:rsid w:val="37472705"/>
    <w:rsid w:val="377856DA"/>
    <w:rsid w:val="37AE13D5"/>
    <w:rsid w:val="388E3152"/>
    <w:rsid w:val="38A953A1"/>
    <w:rsid w:val="38BC1C42"/>
    <w:rsid w:val="39B27192"/>
    <w:rsid w:val="39C36124"/>
    <w:rsid w:val="3BEC710C"/>
    <w:rsid w:val="3C0958DE"/>
    <w:rsid w:val="3C3E2F5F"/>
    <w:rsid w:val="3C502C92"/>
    <w:rsid w:val="3D3E7A98"/>
    <w:rsid w:val="3D9F5C7F"/>
    <w:rsid w:val="3DE808E1"/>
    <w:rsid w:val="3E642A25"/>
    <w:rsid w:val="3ED96F6F"/>
    <w:rsid w:val="3F170C27"/>
    <w:rsid w:val="3FA2108F"/>
    <w:rsid w:val="406F303B"/>
    <w:rsid w:val="41DA54D8"/>
    <w:rsid w:val="41EE2D31"/>
    <w:rsid w:val="421503FD"/>
    <w:rsid w:val="42C43466"/>
    <w:rsid w:val="43574906"/>
    <w:rsid w:val="43611D8C"/>
    <w:rsid w:val="439F6525"/>
    <w:rsid w:val="44161520"/>
    <w:rsid w:val="444F5053"/>
    <w:rsid w:val="449E651A"/>
    <w:rsid w:val="451900C5"/>
    <w:rsid w:val="45E22BAD"/>
    <w:rsid w:val="46FF32EA"/>
    <w:rsid w:val="472879B0"/>
    <w:rsid w:val="4832149E"/>
    <w:rsid w:val="48CD3EAE"/>
    <w:rsid w:val="499B69C5"/>
    <w:rsid w:val="4A1E2D2F"/>
    <w:rsid w:val="4A3C54AE"/>
    <w:rsid w:val="4AA5064D"/>
    <w:rsid w:val="4B2D6F02"/>
    <w:rsid w:val="4BD5286C"/>
    <w:rsid w:val="4C155DDB"/>
    <w:rsid w:val="4C1635B0"/>
    <w:rsid w:val="4C3E6663"/>
    <w:rsid w:val="4C6065D9"/>
    <w:rsid w:val="4C7E1155"/>
    <w:rsid w:val="4C823644"/>
    <w:rsid w:val="4C936949"/>
    <w:rsid w:val="4CE52F83"/>
    <w:rsid w:val="4CF1364B"/>
    <w:rsid w:val="4E063E37"/>
    <w:rsid w:val="4E261AA5"/>
    <w:rsid w:val="4EBD5F65"/>
    <w:rsid w:val="4EF6635C"/>
    <w:rsid w:val="4F155DA1"/>
    <w:rsid w:val="4F257236"/>
    <w:rsid w:val="4F6A2C48"/>
    <w:rsid w:val="501E6ED7"/>
    <w:rsid w:val="520A44A5"/>
    <w:rsid w:val="525278D0"/>
    <w:rsid w:val="52B0036F"/>
    <w:rsid w:val="53334D5F"/>
    <w:rsid w:val="541008E5"/>
    <w:rsid w:val="54155F87"/>
    <w:rsid w:val="54A11E85"/>
    <w:rsid w:val="54F16512"/>
    <w:rsid w:val="55257FCE"/>
    <w:rsid w:val="558975C8"/>
    <w:rsid w:val="572065B6"/>
    <w:rsid w:val="574C13FA"/>
    <w:rsid w:val="578C3B2F"/>
    <w:rsid w:val="57A70DBB"/>
    <w:rsid w:val="587E6089"/>
    <w:rsid w:val="588D51EF"/>
    <w:rsid w:val="58A14643"/>
    <w:rsid w:val="59044790"/>
    <w:rsid w:val="590E1B4D"/>
    <w:rsid w:val="5AD80CBC"/>
    <w:rsid w:val="5AFA16CF"/>
    <w:rsid w:val="5B3A7AB8"/>
    <w:rsid w:val="5BBF528B"/>
    <w:rsid w:val="5CBD5382"/>
    <w:rsid w:val="5D3A2E77"/>
    <w:rsid w:val="5DD03BA4"/>
    <w:rsid w:val="5DFD71D0"/>
    <w:rsid w:val="5E990CC3"/>
    <w:rsid w:val="5ED370DF"/>
    <w:rsid w:val="5EE32753"/>
    <w:rsid w:val="5F482E85"/>
    <w:rsid w:val="60AF76D8"/>
    <w:rsid w:val="62F600B4"/>
    <w:rsid w:val="63800B5C"/>
    <w:rsid w:val="63B70D7D"/>
    <w:rsid w:val="63C3560C"/>
    <w:rsid w:val="6481138B"/>
    <w:rsid w:val="64FD71A6"/>
    <w:rsid w:val="654E7948"/>
    <w:rsid w:val="65535137"/>
    <w:rsid w:val="656A1289"/>
    <w:rsid w:val="65B71508"/>
    <w:rsid w:val="65B77EE4"/>
    <w:rsid w:val="65FA31A3"/>
    <w:rsid w:val="672E75A8"/>
    <w:rsid w:val="67C87352"/>
    <w:rsid w:val="67DB076F"/>
    <w:rsid w:val="67F12C82"/>
    <w:rsid w:val="686455DF"/>
    <w:rsid w:val="69A25812"/>
    <w:rsid w:val="69A71894"/>
    <w:rsid w:val="69E52E07"/>
    <w:rsid w:val="6A063CC2"/>
    <w:rsid w:val="6B050874"/>
    <w:rsid w:val="6B1854C0"/>
    <w:rsid w:val="6B366D7D"/>
    <w:rsid w:val="6B616798"/>
    <w:rsid w:val="6B9934A4"/>
    <w:rsid w:val="6BDE348C"/>
    <w:rsid w:val="6C6121CE"/>
    <w:rsid w:val="6C734E06"/>
    <w:rsid w:val="6CD315A6"/>
    <w:rsid w:val="6D2D6021"/>
    <w:rsid w:val="6DB12CE1"/>
    <w:rsid w:val="6E645F9C"/>
    <w:rsid w:val="6E6727E5"/>
    <w:rsid w:val="6E934195"/>
    <w:rsid w:val="6F0B46C7"/>
    <w:rsid w:val="6F403D6B"/>
    <w:rsid w:val="6F54271C"/>
    <w:rsid w:val="709E2B4B"/>
    <w:rsid w:val="710C0772"/>
    <w:rsid w:val="71CA7743"/>
    <w:rsid w:val="71CF4C44"/>
    <w:rsid w:val="722D66AE"/>
    <w:rsid w:val="723A2BE4"/>
    <w:rsid w:val="72404633"/>
    <w:rsid w:val="72A42E6C"/>
    <w:rsid w:val="730D4B8B"/>
    <w:rsid w:val="730D6C0C"/>
    <w:rsid w:val="73361C48"/>
    <w:rsid w:val="7389700F"/>
    <w:rsid w:val="739D5240"/>
    <w:rsid w:val="74617831"/>
    <w:rsid w:val="752A1E7E"/>
    <w:rsid w:val="753133C2"/>
    <w:rsid w:val="75524DAA"/>
    <w:rsid w:val="757D3FA7"/>
    <w:rsid w:val="76360227"/>
    <w:rsid w:val="76806A19"/>
    <w:rsid w:val="76B455F0"/>
    <w:rsid w:val="76E6266F"/>
    <w:rsid w:val="77E8737B"/>
    <w:rsid w:val="781C169F"/>
    <w:rsid w:val="781F277A"/>
    <w:rsid w:val="78414C61"/>
    <w:rsid w:val="78651428"/>
    <w:rsid w:val="7872306D"/>
    <w:rsid w:val="79F67D67"/>
    <w:rsid w:val="7A304F8E"/>
    <w:rsid w:val="7A721A4A"/>
    <w:rsid w:val="7A7B022E"/>
    <w:rsid w:val="7A990D85"/>
    <w:rsid w:val="7B5254FA"/>
    <w:rsid w:val="7BF70459"/>
    <w:rsid w:val="7CA97D98"/>
    <w:rsid w:val="7D2C68F3"/>
    <w:rsid w:val="7D301658"/>
    <w:rsid w:val="7D3923AB"/>
    <w:rsid w:val="7D6424B5"/>
    <w:rsid w:val="7DFE1328"/>
    <w:rsid w:val="7F567AD5"/>
    <w:rsid w:val="7FD71CD0"/>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Title"/>
    <w:basedOn w:val="1"/>
    <w:next w:val="1"/>
    <w:qFormat/>
    <w:uiPriority w:val="0"/>
    <w:pPr>
      <w:adjustRightInd w:val="0"/>
      <w:spacing w:before="240" w:after="60" w:line="420" w:lineRule="atLeast"/>
      <w:jc w:val="center"/>
      <w:textAlignment w:val="baseline"/>
    </w:pPr>
    <w:rPr>
      <w:rFonts w:ascii="Arial" w:hAnsi="Arial" w:cs="Arial"/>
      <w:b/>
      <w:kern w:val="0"/>
      <w:sz w:val="32"/>
    </w:rPr>
  </w:style>
  <w:style w:type="character" w:styleId="8">
    <w:name w:val="Strong"/>
    <w:basedOn w:val="7"/>
    <w:qFormat/>
    <w:uiPriority w:val="0"/>
    <w:rPr>
      <w:b/>
    </w:rPr>
  </w:style>
  <w:style w:type="character" w:customStyle="1" w:styleId="9">
    <w:name w:val="页眉 Char"/>
    <w:basedOn w:val="7"/>
    <w:link w:val="3"/>
    <w:qFormat/>
    <w:uiPriority w:val="0"/>
    <w:rPr>
      <w:rFonts w:ascii="Calibri" w:hAnsi="Calibri" w:eastAsia="宋体" w:cs="Times New Roman"/>
      <w:kern w:val="2"/>
      <w:sz w:val="18"/>
      <w:szCs w:val="18"/>
    </w:rPr>
  </w:style>
  <w:style w:type="character" w:customStyle="1" w:styleId="10">
    <w:name w:val="页脚 Char"/>
    <w:basedOn w:val="7"/>
    <w:link w:val="2"/>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1835</Words>
  <Characters>1859</Characters>
  <Lines>6</Lines>
  <Paragraphs>1</Paragraphs>
  <TotalTime>0</TotalTime>
  <ScaleCrop>false</ScaleCrop>
  <LinksUpToDate>false</LinksUpToDate>
  <CharactersWithSpaces>1861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2020-12-21T14:15:00Z</dcterms:created>
  <dc:creator>lenovo</dc:creator>
  <cp:lastModifiedBy>Administrator</cp:lastModifiedBy>
  <cp:lastPrinted>2024-12-16T00:36:00Z</cp:lastPrinted>
  <dcterms:modified xsi:type="dcterms:W3CDTF">2026-09-21T02:35:18Z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983DE55B3CFD43638964BA699616542A_13</vt:lpwstr>
  </property>
  <property fmtid="{D5CDD505-2E9C-101B-9397-08002B2CF9AE}" pid="4" name="KSOTemplateDocerSaveRecord">
    <vt:lpwstr>eyJoZGlkIjoiNTQ5N2Y5YjIxODIwYTIyYmYzNTdlNDY1NWIzOThjODYifQ==</vt:lpwstr>
  </property>
</Properties>
</file>