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0" w:leftChars="0" w:right="0" w:rightChars="0" w:firstLine="640" w:firstLineChars="20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宅基地审批管理工作专班组成人员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880" w:firstLineChars="200"/>
        <w:jc w:val="both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组    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区委副书记、区政府区长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1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副  组  长：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 w:bidi="ar-SA"/>
        </w:rPr>
        <w:t>负责规划工作副区长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 w:bidi="ar-SA"/>
        </w:rPr>
        <w:t>负责农业工作副区长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560" w:firstLineChars="8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 w:bidi="ar-SA"/>
        </w:rPr>
        <w:t>负责建设工作副区长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成      员：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市自然资源局浑南分局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560" w:firstLineChars="8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市自然资源局棋盘山分局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区城市建设局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棋盘山林草局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560" w:firstLineChars="8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区水务事务服务中心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区供电公司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市公安局浑南分局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560" w:firstLineChars="8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各涉农街道办事处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领导小组下设办公室，设在区农业农村局，承担宅基地审批管理日常事务，办公室主任由区农业农村局主要领导兼任。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55B8076D"/>
    <w:rsid w:val="55B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2024-01-03T07:27:00Z</dcterms:created>
  <dc:creator>杨洋</dc:creator>
  <cp:lastModifiedBy>杨洋</cp:lastModifiedBy>
  <dcterms:modified xsi:type="dcterms:W3CDTF">2024-01-03T07:27:31Z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5EA2BABF340F40D3910BD008C4E73861_11</vt:lpwstr>
  </property>
</Properties>
</file>